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jc w:val="center"/>
        <w:textAlignment w:val="auto"/>
        <w:rPr>
          <w:rFonts w:hint="default" w:ascii="Times New Roman" w:hAnsi="Times New Roman" w:eastAsia="方正小标宋_GBK" w:cs="Times New Roman"/>
          <w:sz w:val="44"/>
          <w:szCs w:val="44"/>
          <w:lang w:eastAsia="zh-CN"/>
        </w:rPr>
      </w:pPr>
      <w:r>
        <w:rPr>
          <w:rFonts w:hint="default" w:eastAsia="方正小标宋_GBK" w:cs="Times New Roman"/>
          <w:sz w:val="44"/>
          <w:szCs w:val="44"/>
          <w:lang w:eastAsia="zh-CN"/>
        </w:rPr>
        <w:t xml:space="preserve"> </w:t>
      </w:r>
      <w:r>
        <w:rPr>
          <w:rFonts w:hint="default" w:ascii="Times New Roman" w:hAnsi="Times New Roman" w:eastAsia="方正小标宋_GBK" w:cs="Times New Roman"/>
          <w:sz w:val="44"/>
          <w:szCs w:val="44"/>
          <w:lang w:val="en-US" w:eastAsia="zh-CN"/>
        </w:rPr>
        <w:t>关于加快建设白城绿电产业示范园区的意见</w:t>
      </w:r>
      <w:r>
        <w:rPr>
          <w:rFonts w:hint="default" w:eastAsia="方正小标宋_GBK" w:cs="Times New Roman"/>
          <w:sz w:val="44"/>
          <w:szCs w:val="44"/>
          <w:lang w:eastAsia="zh-CN"/>
        </w:rPr>
        <w:tab/>
      </w:r>
      <w:bookmarkStart w:id="0" w:name="_GoBack"/>
      <w:bookmarkEnd w:id="0"/>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90" w:lineRule="exact"/>
        <w:ind w:left="0" w:leftChars="0"/>
        <w:jc w:val="left"/>
        <w:textAlignment w:val="auto"/>
        <w:rPr>
          <w:rFonts w:hint="eastAsia" w:ascii="仿宋" w:hAnsi="仿宋" w:eastAsia="仿宋" w:cs="仿宋"/>
          <w:sz w:val="32"/>
          <w:szCs w:val="32"/>
          <w:lang w:eastAsia="zh-CN"/>
        </w:rPr>
      </w:pPr>
      <w:r>
        <w:rPr>
          <w:rFonts w:hint="default" w:eastAsia="楷体_GB2312" w:cs="Times New Roman"/>
          <w:sz w:val="34"/>
          <w:szCs w:val="34"/>
          <w:lang w:eastAsia="zh-CN"/>
        </w:rPr>
        <w:t xml:space="preserve">                   </w:t>
      </w:r>
      <w:r>
        <w:rPr>
          <w:rFonts w:hint="eastAsia" w:ascii="仿宋" w:hAnsi="仿宋" w:eastAsia="仿宋" w:cs="仿宋"/>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80" w:firstLineChars="200"/>
        <w:textAlignment w:val="auto"/>
        <w:rPr>
          <w:rFonts w:hint="eastAsia" w:ascii="仿宋" w:hAnsi="仿宋" w:eastAsia="仿宋" w:cs="仿宋"/>
          <w:sz w:val="34"/>
          <w:szCs w:val="34"/>
          <w:lang w:val="en-US" w:eastAsia="zh-CN"/>
        </w:rPr>
      </w:pPr>
      <w:r>
        <w:rPr>
          <w:rFonts w:hint="eastAsia" w:ascii="仿宋" w:hAnsi="仿宋" w:eastAsia="仿宋" w:cs="仿宋"/>
          <w:sz w:val="34"/>
          <w:szCs w:val="34"/>
        </w:rPr>
        <w:t>白城绿电产业示范园区</w:t>
      </w:r>
      <w:r>
        <w:rPr>
          <w:rFonts w:hint="eastAsia" w:ascii="仿宋" w:hAnsi="仿宋" w:eastAsia="仿宋" w:cs="仿宋"/>
          <w:sz w:val="34"/>
          <w:szCs w:val="34"/>
          <w:lang w:val="en-US" w:eastAsia="zh-CN"/>
        </w:rPr>
        <w:t>（以下简称园区）</w:t>
      </w:r>
      <w:r>
        <w:rPr>
          <w:rFonts w:hint="eastAsia" w:ascii="仿宋" w:hAnsi="仿宋" w:eastAsia="仿宋" w:cs="仿宋"/>
          <w:sz w:val="34"/>
          <w:szCs w:val="34"/>
        </w:rPr>
        <w:t>是</w:t>
      </w:r>
      <w:r>
        <w:rPr>
          <w:rFonts w:hint="default" w:ascii="仿宋" w:hAnsi="仿宋" w:eastAsia="仿宋" w:cs="仿宋"/>
          <w:sz w:val="34"/>
          <w:szCs w:val="34"/>
        </w:rPr>
        <w:t>白城</w:t>
      </w:r>
      <w:r>
        <w:rPr>
          <w:rFonts w:hint="eastAsia" w:ascii="仿宋" w:hAnsi="仿宋" w:eastAsia="仿宋" w:cs="仿宋"/>
          <w:sz w:val="34"/>
          <w:szCs w:val="34"/>
          <w:lang w:val="en-US" w:eastAsia="zh-CN"/>
        </w:rPr>
        <w:t>市委市政府抢抓“双碳”机遇，为全面贯彻吉林省“一主六双”高质量发展战略，深入落实白城市委“一城三区”战略部署，</w:t>
      </w:r>
      <w:r>
        <w:rPr>
          <w:rFonts w:hint="eastAsia" w:ascii="仿宋" w:hAnsi="仿宋" w:eastAsia="仿宋" w:cs="仿宋"/>
          <w:sz w:val="34"/>
          <w:szCs w:val="34"/>
        </w:rPr>
        <w:t>在</w:t>
      </w:r>
      <w:r>
        <w:rPr>
          <w:rFonts w:hint="eastAsia" w:ascii="仿宋" w:hAnsi="仿宋" w:eastAsia="仿宋" w:cs="仿宋"/>
          <w:sz w:val="34"/>
          <w:szCs w:val="34"/>
          <w:lang w:val="en-US" w:eastAsia="zh-CN"/>
        </w:rPr>
        <w:t>国家、</w:t>
      </w:r>
      <w:r>
        <w:rPr>
          <w:rFonts w:hint="eastAsia" w:ascii="仿宋" w:hAnsi="仿宋" w:eastAsia="仿宋" w:cs="仿宋"/>
          <w:sz w:val="34"/>
          <w:szCs w:val="34"/>
        </w:rPr>
        <w:t>省能源局及省电网</w:t>
      </w:r>
      <w:r>
        <w:rPr>
          <w:rFonts w:hint="eastAsia" w:ascii="仿宋" w:hAnsi="仿宋" w:eastAsia="仿宋" w:cs="仿宋"/>
          <w:sz w:val="34"/>
          <w:szCs w:val="34"/>
          <w:lang w:val="en-US" w:eastAsia="zh-CN"/>
        </w:rPr>
        <w:t>公司</w:t>
      </w:r>
      <w:r>
        <w:rPr>
          <w:rFonts w:hint="eastAsia" w:ascii="仿宋" w:hAnsi="仿宋" w:eastAsia="仿宋" w:cs="仿宋"/>
          <w:sz w:val="34"/>
          <w:szCs w:val="34"/>
        </w:rPr>
        <w:t>的支持下，谋划的</w:t>
      </w:r>
      <w:r>
        <w:rPr>
          <w:rFonts w:hint="eastAsia" w:ascii="仿宋" w:hAnsi="仿宋" w:eastAsia="仿宋" w:cs="仿宋"/>
          <w:sz w:val="34"/>
          <w:szCs w:val="34"/>
          <w:lang w:val="en-US" w:eastAsia="zh-CN"/>
        </w:rPr>
        <w:t>一个厚植“绿色、智能、低电价”发展优势，</w:t>
      </w:r>
      <w:r>
        <w:rPr>
          <w:rFonts w:hint="eastAsia" w:ascii="仿宋" w:hAnsi="仿宋" w:eastAsia="仿宋" w:cs="仿宋"/>
          <w:sz w:val="34"/>
          <w:szCs w:val="34"/>
        </w:rPr>
        <w:t>促进清洁能源本地消纳</w:t>
      </w:r>
      <w:r>
        <w:rPr>
          <w:rFonts w:hint="eastAsia" w:ascii="仿宋" w:hAnsi="仿宋" w:eastAsia="仿宋" w:cs="仿宋"/>
          <w:sz w:val="34"/>
          <w:szCs w:val="34"/>
          <w:lang w:eastAsia="zh-CN"/>
        </w:rPr>
        <w:t>，</w:t>
      </w:r>
      <w:r>
        <w:rPr>
          <w:rFonts w:hint="eastAsia" w:ascii="仿宋" w:hAnsi="仿宋" w:eastAsia="仿宋" w:cs="仿宋"/>
          <w:sz w:val="34"/>
          <w:szCs w:val="34"/>
        </w:rPr>
        <w:t>拉动白城</w:t>
      </w:r>
      <w:r>
        <w:rPr>
          <w:rFonts w:hint="eastAsia" w:ascii="仿宋" w:hAnsi="仿宋" w:eastAsia="仿宋" w:cs="仿宋"/>
          <w:sz w:val="34"/>
          <w:szCs w:val="34"/>
          <w:lang w:val="en-US" w:eastAsia="zh-CN"/>
        </w:rPr>
        <w:t>乃至全省</w:t>
      </w:r>
      <w:r>
        <w:rPr>
          <w:rFonts w:hint="eastAsia" w:ascii="仿宋" w:hAnsi="仿宋" w:eastAsia="仿宋" w:cs="仿宋"/>
          <w:sz w:val="34"/>
          <w:szCs w:val="34"/>
        </w:rPr>
        <w:t>经济发展的重大</w:t>
      </w:r>
      <w:r>
        <w:rPr>
          <w:rFonts w:hint="eastAsia" w:ascii="仿宋" w:hAnsi="仿宋" w:eastAsia="仿宋" w:cs="仿宋"/>
          <w:sz w:val="34"/>
          <w:szCs w:val="34"/>
          <w:lang w:val="en-US" w:eastAsia="zh-CN"/>
        </w:rPr>
        <w:t>能源产业示范项目</w:t>
      </w:r>
      <w:r>
        <w:rPr>
          <w:rFonts w:hint="eastAsia" w:ascii="仿宋" w:hAnsi="仿宋" w:eastAsia="仿宋" w:cs="仿宋"/>
          <w:sz w:val="34"/>
          <w:szCs w:val="34"/>
        </w:rPr>
        <w:t>。</w:t>
      </w:r>
      <w:r>
        <w:rPr>
          <w:rFonts w:hint="eastAsia" w:ascii="仿宋" w:hAnsi="仿宋" w:eastAsia="仿宋" w:cs="仿宋"/>
          <w:sz w:val="34"/>
          <w:szCs w:val="34"/>
          <w:lang w:val="en-US" w:eastAsia="zh-CN"/>
        </w:rPr>
        <w:t>现就加快建设白城绿电产业示范园区，提出如下意见。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left="0" w:leftChars="0" w:firstLine="680" w:firstLineChars="200"/>
        <w:jc w:val="both"/>
        <w:textAlignment w:val="auto"/>
        <w:rPr>
          <w:rFonts w:hint="default" w:ascii="Times New Roman" w:hAnsi="Times New Roman" w:eastAsia="黑体" w:cs="Times New Roman"/>
          <w:sz w:val="34"/>
          <w:szCs w:val="34"/>
          <w:lang w:val="en-US" w:eastAsia="zh-CN"/>
        </w:rPr>
      </w:pPr>
      <w:r>
        <w:rPr>
          <w:rFonts w:hint="default" w:ascii="Times New Roman" w:hAnsi="Times New Roman" w:eastAsia="黑体" w:cs="Times New Roman"/>
          <w:sz w:val="34"/>
          <w:szCs w:val="34"/>
          <w:lang w:val="en-US" w:eastAsia="zh-CN"/>
        </w:rPr>
        <w:t>一、总体要求</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Autospacing="0" w:after="0" w:afterLines="0" w:afterAutospacing="0" w:line="580" w:lineRule="exact"/>
        <w:ind w:left="0" w:leftChars="0" w:right="0" w:rightChars="0" w:firstLine="640"/>
        <w:jc w:val="both"/>
        <w:textAlignment w:val="auto"/>
        <w:outlineLvl w:val="9"/>
        <w:rPr>
          <w:rFonts w:hint="eastAsia" w:ascii="仿宋" w:hAnsi="仿宋" w:eastAsia="仿宋" w:cs="仿宋"/>
          <w:kern w:val="2"/>
          <w:sz w:val="34"/>
          <w:szCs w:val="34"/>
          <w:lang w:val="en-US" w:eastAsia="zh-CN" w:bidi="ar-SA"/>
        </w:rPr>
      </w:pPr>
      <w:r>
        <w:rPr>
          <w:rFonts w:hint="eastAsia" w:ascii="仿宋" w:hAnsi="仿宋" w:eastAsia="仿宋" w:cs="仿宋"/>
          <w:b/>
          <w:bCs/>
          <w:sz w:val="34"/>
          <w:szCs w:val="34"/>
          <w:lang w:val="en-US" w:eastAsia="zh-CN"/>
        </w:rPr>
        <w:t>1.指导思想。</w:t>
      </w:r>
      <w:r>
        <w:rPr>
          <w:rFonts w:hint="eastAsia" w:ascii="仿宋" w:hAnsi="仿宋" w:eastAsia="仿宋" w:cs="仿宋"/>
          <w:kern w:val="2"/>
          <w:sz w:val="34"/>
          <w:szCs w:val="34"/>
          <w:lang w:val="en-US" w:eastAsia="zh-CN" w:bidi="ar-SA"/>
        </w:rPr>
        <w:t>以习近平新时代中国特色社会主义思想为指导，以习近平</w:t>
      </w:r>
      <w:r>
        <w:rPr>
          <w:rFonts w:hint="default" w:ascii="仿宋" w:hAnsi="仿宋" w:eastAsia="仿宋" w:cs="仿宋"/>
          <w:kern w:val="2"/>
          <w:sz w:val="34"/>
          <w:szCs w:val="34"/>
          <w:lang w:eastAsia="zh-CN" w:bidi="ar-SA"/>
        </w:rPr>
        <w:t>总书记</w:t>
      </w:r>
      <w:r>
        <w:rPr>
          <w:rFonts w:hint="eastAsia" w:ascii="仿宋" w:hAnsi="仿宋" w:eastAsia="仿宋" w:cs="仿宋"/>
          <w:kern w:val="2"/>
          <w:sz w:val="34"/>
          <w:szCs w:val="34"/>
          <w:lang w:val="en-US" w:eastAsia="zh-CN" w:bidi="ar-SA"/>
        </w:rPr>
        <w:t>在第七十五届联合国大会和全球气候雄心峰会讲话精神为遵循，以全省“一主六双”高质量发展战略为统筹，以奋力实现“两确保一率先”为目标，立足白城新能源发展优势，加快推进新能源综合开发利用及园区建设，全力打造吉林西部生态经济高质量发展新引擎，为实现新时期白城全面振兴全方位振兴注入强大动力活力。</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firstLine="680" w:firstLineChars="200"/>
        <w:jc w:val="both"/>
        <w:textAlignment w:val="auto"/>
        <w:rPr>
          <w:rFonts w:hint="eastAsia" w:ascii="仿宋" w:hAnsi="仿宋" w:eastAsia="仿宋" w:cs="仿宋"/>
          <w:b/>
          <w:bCs/>
          <w:kern w:val="2"/>
          <w:sz w:val="34"/>
          <w:szCs w:val="34"/>
          <w:lang w:val="en-US" w:eastAsia="zh-CN" w:bidi="ar-SA"/>
        </w:rPr>
      </w:pPr>
      <w:r>
        <w:rPr>
          <w:rFonts w:hint="eastAsia" w:ascii="仿宋" w:hAnsi="仿宋" w:eastAsia="仿宋" w:cs="仿宋"/>
          <w:b/>
          <w:bCs/>
          <w:kern w:val="2"/>
          <w:sz w:val="34"/>
          <w:szCs w:val="34"/>
          <w:lang w:val="en-US" w:eastAsia="zh-CN" w:bidi="ar-SA"/>
        </w:rPr>
        <w:t>2.战略定位</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firstLine="680" w:firstLineChars="200"/>
        <w:jc w:val="both"/>
        <w:textAlignment w:val="auto"/>
        <w:rPr>
          <w:rFonts w:hint="eastAsia" w:ascii="仿宋" w:hAnsi="仿宋" w:eastAsia="仿宋" w:cs="仿宋"/>
          <w:kern w:val="2"/>
          <w:sz w:val="34"/>
          <w:szCs w:val="34"/>
          <w:lang w:val="en-US" w:eastAsia="zh-CN" w:bidi="ar-SA"/>
        </w:rPr>
      </w:pPr>
      <w:r>
        <w:rPr>
          <w:rFonts w:hint="eastAsia" w:ascii="仿宋" w:hAnsi="仿宋" w:eastAsia="仿宋" w:cs="仿宋"/>
          <w:b/>
          <w:bCs/>
          <w:kern w:val="2"/>
          <w:sz w:val="34"/>
          <w:szCs w:val="34"/>
          <w:lang w:val="en-US" w:eastAsia="zh-CN" w:bidi="ar-SA"/>
        </w:rPr>
        <w:t>——资源转化的示范。</w:t>
      </w:r>
      <w:r>
        <w:rPr>
          <w:rFonts w:hint="eastAsia" w:ascii="仿宋" w:hAnsi="仿宋" w:eastAsia="仿宋" w:cs="仿宋"/>
          <w:kern w:val="2"/>
          <w:sz w:val="34"/>
          <w:szCs w:val="34"/>
          <w:lang w:val="en-US" w:eastAsia="zh-CN" w:bidi="ar-SA"/>
        </w:rPr>
        <w:t>立足生态与经济融合互促，以白城丰富的风、光资源为依托，系统谋划，集成布局，“头部”引领，全力推进“陆上风光三峡”建设，推动资源优势和生态优势转化为产业优势和经济优势，打造全省乃至全国重要的清洁能源生产及消纳基地。</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firstLine="680" w:firstLineChars="200"/>
        <w:jc w:val="both"/>
        <w:textAlignment w:val="auto"/>
        <w:rPr>
          <w:rFonts w:hint="eastAsia" w:ascii="仿宋" w:hAnsi="仿宋" w:eastAsia="仿宋" w:cs="仿宋"/>
          <w:kern w:val="2"/>
          <w:sz w:val="34"/>
          <w:szCs w:val="34"/>
          <w:lang w:val="en-US" w:eastAsia="zh-CN" w:bidi="ar-SA"/>
        </w:rPr>
      </w:pPr>
      <w:r>
        <w:rPr>
          <w:rFonts w:hint="eastAsia" w:ascii="仿宋" w:hAnsi="仿宋" w:eastAsia="仿宋" w:cs="仿宋"/>
          <w:b/>
          <w:bCs/>
          <w:kern w:val="2"/>
          <w:sz w:val="34"/>
          <w:szCs w:val="34"/>
          <w:lang w:val="en-US" w:eastAsia="zh-CN" w:bidi="ar-SA"/>
        </w:rPr>
        <w:t>——低碳经济的示范。</w:t>
      </w:r>
      <w:r>
        <w:rPr>
          <w:rFonts w:hint="eastAsia" w:ascii="仿宋" w:hAnsi="仿宋" w:eastAsia="仿宋" w:cs="仿宋"/>
          <w:kern w:val="2"/>
          <w:sz w:val="34"/>
          <w:szCs w:val="34"/>
          <w:lang w:val="en-US" w:eastAsia="zh-CN" w:bidi="ar-SA"/>
        </w:rPr>
        <w:t>围绕园区功能定位，通过理念创新、产业结构创新、生产方式创新等多种手段，提高新能源使用效率，探索低碳经济发展模式和路径，建设具有白城特色的生态、生产、生活和谐共生的低碳经济示范区。</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firstLine="680" w:firstLineChars="200"/>
        <w:jc w:val="both"/>
        <w:textAlignment w:val="auto"/>
        <w:rPr>
          <w:rFonts w:hint="eastAsia" w:ascii="仿宋" w:hAnsi="仿宋" w:eastAsia="仿宋" w:cs="仿宋"/>
          <w:kern w:val="2"/>
          <w:sz w:val="34"/>
          <w:szCs w:val="34"/>
          <w:lang w:val="en-US" w:eastAsia="zh-CN" w:bidi="ar-SA"/>
        </w:rPr>
      </w:pPr>
      <w:r>
        <w:rPr>
          <w:rFonts w:hint="eastAsia" w:ascii="仿宋" w:hAnsi="仿宋" w:eastAsia="仿宋" w:cs="仿宋"/>
          <w:b/>
          <w:bCs/>
          <w:kern w:val="2"/>
          <w:sz w:val="34"/>
          <w:szCs w:val="34"/>
          <w:lang w:val="en-US" w:eastAsia="zh-CN" w:bidi="ar-SA"/>
        </w:rPr>
        <w:t>——绿色转型的示范。</w:t>
      </w:r>
      <w:r>
        <w:rPr>
          <w:rFonts w:hint="eastAsia" w:ascii="仿宋" w:hAnsi="仿宋" w:eastAsia="仿宋" w:cs="仿宋"/>
          <w:b w:val="0"/>
          <w:bCs w:val="0"/>
          <w:kern w:val="2"/>
          <w:sz w:val="34"/>
          <w:szCs w:val="34"/>
          <w:lang w:val="en-US" w:eastAsia="zh-CN" w:bidi="ar-SA"/>
        </w:rPr>
        <w:t>致力绿色发展、产业转型，通过建设以新能源为主体的用能体系，打造绿电新动能，培育</w:t>
      </w:r>
      <w:r>
        <w:rPr>
          <w:rFonts w:hint="default" w:ascii="仿宋" w:hAnsi="仿宋" w:eastAsia="仿宋" w:cs="仿宋"/>
          <w:b w:val="0"/>
          <w:bCs w:val="0"/>
          <w:kern w:val="2"/>
          <w:sz w:val="34"/>
          <w:szCs w:val="34"/>
          <w:lang w:eastAsia="zh-CN" w:bidi="ar-SA"/>
        </w:rPr>
        <w:t>绿色新</w:t>
      </w:r>
      <w:r>
        <w:rPr>
          <w:rFonts w:hint="eastAsia" w:ascii="仿宋" w:hAnsi="仿宋" w:eastAsia="仿宋" w:cs="仿宋"/>
          <w:b w:val="0"/>
          <w:bCs w:val="0"/>
          <w:kern w:val="2"/>
          <w:sz w:val="34"/>
          <w:szCs w:val="34"/>
          <w:lang w:val="en-US" w:eastAsia="zh-CN" w:bidi="ar-SA"/>
        </w:rPr>
        <w:t>产业，构建循环经济链条，探索</w:t>
      </w:r>
      <w:r>
        <w:rPr>
          <w:rFonts w:hint="eastAsia" w:ascii="仿宋" w:hAnsi="仿宋" w:eastAsia="仿宋" w:cs="仿宋"/>
          <w:kern w:val="2"/>
          <w:sz w:val="34"/>
          <w:szCs w:val="34"/>
          <w:lang w:val="en-US" w:eastAsia="zh-CN" w:bidi="ar-SA"/>
        </w:rPr>
        <w:t>走出一条资源消耗低、环境污染少、发展质量高的绿色转型之路。</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firstLine="680" w:firstLineChars="200"/>
        <w:jc w:val="both"/>
        <w:textAlignment w:val="auto"/>
        <w:rPr>
          <w:rFonts w:hint="eastAsia" w:ascii="仿宋" w:hAnsi="仿宋" w:eastAsia="仿宋" w:cs="仿宋"/>
          <w:kern w:val="2"/>
          <w:sz w:val="34"/>
          <w:szCs w:val="34"/>
          <w:lang w:val="en-US" w:eastAsia="zh-CN" w:bidi="ar-SA"/>
        </w:rPr>
      </w:pPr>
      <w:r>
        <w:rPr>
          <w:rFonts w:hint="eastAsia" w:ascii="仿宋" w:hAnsi="仿宋" w:eastAsia="仿宋" w:cs="仿宋"/>
          <w:b/>
          <w:bCs/>
          <w:kern w:val="2"/>
          <w:sz w:val="34"/>
          <w:szCs w:val="34"/>
          <w:lang w:val="en-US" w:eastAsia="zh-CN" w:bidi="ar-SA"/>
        </w:rPr>
        <w:t>——开放合作的示范。</w:t>
      </w:r>
      <w:r>
        <w:rPr>
          <w:rFonts w:hint="eastAsia" w:ascii="仿宋" w:hAnsi="仿宋" w:eastAsia="仿宋" w:cs="仿宋"/>
          <w:kern w:val="2"/>
          <w:sz w:val="34"/>
          <w:szCs w:val="34"/>
          <w:lang w:val="en-US" w:eastAsia="zh-CN" w:bidi="ar-SA"/>
        </w:rPr>
        <w:t>奉行互利共赢、融合开放战略，聚焦园区资源要素优势，释放电价洼地效应，推进民资、国资、外资“三资齐上”，实行引资、引智、引税“三管齐下”，健全完善项目生成和招引机制，吸引国际、国内领军企业抢滩登陆，全面提高对外开放层次和水平。</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Autospacing="0" w:after="0" w:afterLines="0" w:afterAutospacing="0" w:line="580" w:lineRule="exact"/>
        <w:ind w:left="0" w:leftChars="0" w:right="0" w:rightChars="0" w:firstLine="680" w:firstLineChars="200"/>
        <w:jc w:val="both"/>
        <w:textAlignment w:val="auto"/>
        <w:outlineLvl w:val="9"/>
        <w:rPr>
          <w:rFonts w:hint="eastAsia" w:ascii="仿宋" w:hAnsi="仿宋" w:eastAsia="仿宋" w:cs="仿宋"/>
          <w:color w:val="000000" w:themeColor="text1"/>
          <w:kern w:val="2"/>
          <w:sz w:val="34"/>
          <w:szCs w:val="34"/>
          <w:u w:val="none"/>
          <w:lang w:val="en-US" w:eastAsia="zh-CN" w:bidi="ar-SA"/>
          <w14:textFill>
            <w14:solidFill>
              <w14:schemeClr w14:val="tx1"/>
            </w14:solidFill>
          </w14:textFill>
        </w:rPr>
      </w:pPr>
      <w:r>
        <w:rPr>
          <w:rFonts w:hint="eastAsia" w:ascii="仿宋" w:hAnsi="仿宋" w:eastAsia="仿宋" w:cs="仿宋"/>
          <w:b/>
          <w:bCs/>
          <w:sz w:val="34"/>
          <w:szCs w:val="34"/>
          <w:lang w:val="en-US" w:eastAsia="zh-CN"/>
        </w:rPr>
        <w:t>3.发展目标。</w:t>
      </w:r>
      <w:r>
        <w:rPr>
          <w:rFonts w:hint="eastAsia" w:ascii="仿宋" w:hAnsi="仿宋" w:eastAsia="仿宋" w:cs="仿宋"/>
          <w:kern w:val="2"/>
          <w:sz w:val="34"/>
          <w:szCs w:val="34"/>
          <w:lang w:val="en-US" w:eastAsia="zh-CN" w:bidi="ar-SA"/>
        </w:rPr>
        <w:t>探索构建“源网荷储一体化”发展模式，加强清洁能源消纳</w:t>
      </w:r>
      <w:r>
        <w:rPr>
          <w:rFonts w:hint="eastAsia" w:ascii="仿宋" w:hAnsi="仿宋" w:eastAsia="仿宋" w:cs="仿宋"/>
          <w:color w:val="000000" w:themeColor="text1"/>
          <w:kern w:val="2"/>
          <w:sz w:val="34"/>
          <w:szCs w:val="34"/>
          <w:u w:val="none"/>
          <w:lang w:val="en-US" w:eastAsia="zh-CN" w:bidi="ar-SA"/>
          <w14:textFill>
            <w14:solidFill>
              <w14:schemeClr w14:val="tx1"/>
            </w14:solidFill>
          </w14:textFill>
        </w:rPr>
        <w:t>，培育吉林西部生态经济增长极</w:t>
      </w:r>
      <w:r>
        <w:rPr>
          <w:rFonts w:hint="eastAsia" w:ascii="仿宋" w:hAnsi="仿宋" w:eastAsia="仿宋" w:cs="仿宋"/>
          <w:kern w:val="2"/>
          <w:sz w:val="34"/>
          <w:szCs w:val="34"/>
          <w:lang w:val="en-US" w:eastAsia="zh-CN" w:bidi="ar-SA"/>
        </w:rPr>
        <w:t>。</w:t>
      </w:r>
      <w:r>
        <w:rPr>
          <w:rFonts w:hint="default" w:ascii="仿宋" w:hAnsi="仿宋" w:eastAsia="仿宋" w:cs="仿宋"/>
          <w:kern w:val="2"/>
          <w:sz w:val="34"/>
          <w:szCs w:val="34"/>
          <w:u w:val="none"/>
          <w:lang w:eastAsia="zh-CN" w:bidi="ar-SA"/>
        </w:rPr>
        <w:t>力争</w:t>
      </w:r>
      <w:r>
        <w:rPr>
          <w:rFonts w:hint="eastAsia" w:ascii="仿宋" w:hAnsi="仿宋" w:eastAsia="仿宋" w:cs="仿宋"/>
          <w:kern w:val="2"/>
          <w:sz w:val="34"/>
          <w:szCs w:val="34"/>
          <w:u w:val="none"/>
          <w:lang w:val="en-US" w:eastAsia="zh-CN" w:bidi="ar-SA"/>
        </w:rPr>
        <w:t>2025年，实现本地消纳清洁能源装机超过500万千瓦、年供电120亿度，清洁能源直供比例达到50%，固定资产投资完成500亿元、产出规模达到500亿元、税收50亿元，</w:t>
      </w:r>
      <w:r>
        <w:rPr>
          <w:rFonts w:hint="eastAsia" w:ascii="仿宋" w:hAnsi="仿宋" w:eastAsia="仿宋" w:cs="仿宋"/>
          <w:color w:val="000000" w:themeColor="text1"/>
          <w:kern w:val="2"/>
          <w:sz w:val="34"/>
          <w:szCs w:val="34"/>
          <w:u w:val="none"/>
          <w:lang w:val="en-US" w:eastAsia="zh-CN" w:bidi="ar-SA"/>
          <w14:textFill>
            <w14:solidFill>
              <w14:schemeClr w14:val="tx1"/>
            </w14:solidFill>
          </w14:textFill>
        </w:rPr>
        <w:t>国家“源网荷储一体化”和省绿电产业示范效应逐步显现。</w:t>
      </w:r>
      <w:r>
        <w:rPr>
          <w:rFonts w:hint="eastAsia" w:ascii="仿宋" w:hAnsi="仿宋" w:eastAsia="仿宋" w:cs="仿宋"/>
          <w:color w:val="000000" w:themeColor="text1"/>
          <w:kern w:val="2"/>
          <w:sz w:val="34"/>
          <w:szCs w:val="34"/>
          <w:highlight w:val="none"/>
          <w:u w:val="none"/>
          <w:lang w:val="en-US" w:eastAsia="zh-CN" w:bidi="ar-SA"/>
          <w14:textFill>
            <w14:solidFill>
              <w14:schemeClr w14:val="tx1"/>
            </w14:solidFill>
          </w14:textFill>
        </w:rPr>
        <w:t>到2030年</w:t>
      </w:r>
      <w:r>
        <w:rPr>
          <w:rFonts w:hint="eastAsia" w:ascii="仿宋" w:hAnsi="仿宋" w:eastAsia="仿宋" w:cs="仿宋"/>
          <w:color w:val="000000" w:themeColor="text1"/>
          <w:kern w:val="2"/>
          <w:sz w:val="34"/>
          <w:szCs w:val="34"/>
          <w:u w:val="none"/>
          <w:lang w:val="en-US" w:eastAsia="zh-CN" w:bidi="ar-SA"/>
          <w14:textFill>
            <w14:solidFill>
              <w14:schemeClr w14:val="tx1"/>
            </w14:solidFill>
          </w14:textFill>
        </w:rPr>
        <w:t>，</w:t>
      </w:r>
      <w:r>
        <w:rPr>
          <w:rFonts w:hint="eastAsia" w:ascii="仿宋" w:hAnsi="仿宋" w:eastAsia="仿宋" w:cs="仿宋"/>
          <w:color w:val="000000" w:themeColor="text1"/>
          <w:kern w:val="2"/>
          <w:sz w:val="34"/>
          <w:szCs w:val="34"/>
          <w:highlight w:val="none"/>
          <w:u w:val="none"/>
          <w:lang w:val="en-US" w:eastAsia="zh-CN" w:bidi="ar-SA"/>
          <w14:textFill>
            <w14:solidFill>
              <w14:schemeClr w14:val="tx1"/>
            </w14:solidFill>
          </w14:textFill>
        </w:rPr>
        <w:t>进一步提高清洁能源直供比例，</w:t>
      </w:r>
      <w:r>
        <w:rPr>
          <w:rFonts w:hint="eastAsia" w:ascii="仿宋" w:hAnsi="仿宋" w:eastAsia="仿宋" w:cs="仿宋"/>
          <w:color w:val="000000" w:themeColor="text1"/>
          <w:kern w:val="2"/>
          <w:sz w:val="34"/>
          <w:szCs w:val="34"/>
          <w:u w:val="none"/>
          <w:lang w:val="en-US" w:eastAsia="zh-CN" w:bidi="ar-SA"/>
          <w14:textFill>
            <w14:solidFill>
              <w14:schemeClr w14:val="tx1"/>
            </w14:solidFill>
          </w14:textFill>
        </w:rPr>
        <w:t>拉低全市碳排放总量，逐步建成产值千亿、税收百亿的大型示范园区。</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Autospacing="0" w:after="0" w:afterLines="0" w:afterAutospacing="0" w:line="580" w:lineRule="exact"/>
        <w:ind w:left="0" w:leftChars="0" w:right="0" w:rightChars="0" w:firstLine="680" w:firstLineChars="200"/>
        <w:jc w:val="both"/>
        <w:textAlignment w:val="auto"/>
        <w:outlineLvl w:val="9"/>
        <w:rPr>
          <w:rFonts w:hint="default" w:ascii="Times New Roman" w:hAnsi="Times New Roman" w:eastAsia="黑体" w:cs="Times New Roman"/>
          <w:sz w:val="34"/>
          <w:szCs w:val="34"/>
          <w:lang w:val="en-US" w:eastAsia="zh-CN"/>
        </w:rPr>
      </w:pPr>
      <w:r>
        <w:rPr>
          <w:rFonts w:hint="default" w:ascii="Times New Roman" w:hAnsi="Times New Roman" w:eastAsia="黑体" w:cs="Times New Roman"/>
          <w:sz w:val="34"/>
          <w:szCs w:val="34"/>
          <w:lang w:val="en-US" w:eastAsia="zh-CN"/>
        </w:rPr>
        <w:t>二、重点任务</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firstLine="680" w:firstLineChars="200"/>
        <w:textAlignment w:val="auto"/>
        <w:rPr>
          <w:rFonts w:hint="default" w:ascii="Times New Roman" w:hAnsi="Times New Roman" w:eastAsia="楷体_GB2312" w:cs="Times New Roman"/>
          <w:kern w:val="2"/>
          <w:sz w:val="34"/>
          <w:szCs w:val="34"/>
          <w:highlight w:val="none"/>
          <w:u w:val="none"/>
          <w:lang w:val="en-US" w:eastAsia="zh-CN" w:bidi="ar-SA"/>
        </w:rPr>
      </w:pPr>
      <w:r>
        <w:rPr>
          <w:rFonts w:hint="default" w:ascii="Times New Roman" w:hAnsi="Times New Roman" w:eastAsia="楷体_GB2312" w:cs="Times New Roman"/>
          <w:kern w:val="2"/>
          <w:sz w:val="34"/>
          <w:szCs w:val="34"/>
          <w:highlight w:val="none"/>
          <w:u w:val="none"/>
          <w:lang w:val="en-US" w:eastAsia="zh-CN" w:bidi="ar-SA"/>
        </w:rPr>
        <w:t>（一）</w:t>
      </w:r>
      <w:r>
        <w:rPr>
          <w:rFonts w:hint="eastAsia" w:eastAsia="楷体_GB2312" w:cs="Times New Roman"/>
          <w:kern w:val="2"/>
          <w:sz w:val="34"/>
          <w:szCs w:val="34"/>
          <w:highlight w:val="none"/>
          <w:u w:val="none"/>
          <w:lang w:val="en-US" w:eastAsia="zh-CN" w:bidi="ar-SA"/>
        </w:rPr>
        <w:t>加快园区运营体系构建</w:t>
      </w:r>
    </w:p>
    <w:p>
      <w:pPr>
        <w:pStyle w:val="16"/>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80" w:firstLineChars="0"/>
        <w:textAlignment w:val="auto"/>
        <w:rPr>
          <w:rFonts w:hint="default" w:ascii="Times New Roman" w:hAnsi="Times New Roman" w:eastAsia="仿宋_GB2312" w:cs="Times New Roman"/>
          <w:b w:val="0"/>
          <w:bCs w:val="0"/>
          <w:kern w:val="2"/>
          <w:sz w:val="34"/>
          <w:szCs w:val="34"/>
          <w:highlight w:val="none"/>
          <w:u w:val="none"/>
          <w:lang w:val="en-US" w:eastAsia="zh-CN" w:bidi="ar-SA"/>
        </w:rPr>
      </w:pPr>
      <w:r>
        <w:rPr>
          <w:rFonts w:hint="eastAsia" w:ascii="仿宋" w:hAnsi="仿宋" w:eastAsia="仿宋" w:cs="仿宋"/>
          <w:b/>
          <w:bCs/>
          <w:kern w:val="2"/>
          <w:sz w:val="34"/>
          <w:szCs w:val="34"/>
          <w:highlight w:val="none"/>
          <w:u w:val="none"/>
          <w:lang w:val="en-US" w:eastAsia="zh-CN" w:bidi="ar-SA"/>
        </w:rPr>
        <w:t>4.成立配售电公司。</w:t>
      </w:r>
      <w:r>
        <w:rPr>
          <w:rFonts w:hint="default" w:ascii="仿宋" w:hAnsi="仿宋" w:eastAsia="仿宋" w:cs="仿宋"/>
          <w:b w:val="0"/>
          <w:bCs w:val="0"/>
          <w:kern w:val="2"/>
          <w:sz w:val="34"/>
          <w:szCs w:val="34"/>
          <w:highlight w:val="none"/>
          <w:u w:val="none"/>
          <w:lang w:eastAsia="zh-CN" w:bidi="ar-SA"/>
        </w:rPr>
        <w:t>组建配售电公司</w:t>
      </w:r>
      <w:r>
        <w:rPr>
          <w:rFonts w:hint="eastAsia" w:ascii="仿宋" w:hAnsi="仿宋" w:eastAsia="仿宋" w:cs="仿宋"/>
          <w:b w:val="0"/>
          <w:bCs w:val="0"/>
          <w:kern w:val="2"/>
          <w:sz w:val="34"/>
          <w:szCs w:val="34"/>
          <w:highlight w:val="none"/>
          <w:u w:val="none"/>
          <w:lang w:val="en-US" w:eastAsia="zh-CN" w:bidi="ar-SA"/>
        </w:rPr>
        <w:t>，</w:t>
      </w:r>
      <w:r>
        <w:rPr>
          <w:rFonts w:hint="default" w:ascii="仿宋" w:hAnsi="仿宋" w:eastAsia="仿宋" w:cs="仿宋"/>
          <w:b w:val="0"/>
          <w:bCs w:val="0"/>
          <w:kern w:val="2"/>
          <w:sz w:val="34"/>
          <w:szCs w:val="34"/>
          <w:highlight w:val="none"/>
          <w:u w:val="none"/>
          <w:lang w:eastAsia="zh-CN" w:bidi="ar-SA"/>
        </w:rPr>
        <w:t>按程序申请配售电职能，8</w:t>
      </w:r>
      <w:r>
        <w:rPr>
          <w:rFonts w:hint="eastAsia" w:ascii="仿宋" w:hAnsi="仿宋" w:eastAsia="仿宋" w:cs="仿宋"/>
          <w:b w:val="0"/>
          <w:bCs w:val="0"/>
          <w:kern w:val="2"/>
          <w:sz w:val="34"/>
          <w:szCs w:val="34"/>
          <w:highlight w:val="none"/>
          <w:u w:val="none"/>
          <w:lang w:val="en-US" w:eastAsia="zh-CN" w:bidi="ar-SA"/>
        </w:rPr>
        <w:t>月底前完成职能批复工作。</w:t>
      </w:r>
      <w:r>
        <w:rPr>
          <w:rFonts w:hint="default" w:ascii="Times New Roman" w:hAnsi="Times New Roman" w:eastAsia="楷体_GB2312" w:cs="Times New Roman"/>
          <w:kern w:val="2"/>
          <w:sz w:val="34"/>
          <w:szCs w:val="34"/>
          <w:highlight w:val="none"/>
          <w:u w:val="none"/>
          <w:lang w:val="en-US" w:eastAsia="zh-CN" w:bidi="ar-SA"/>
        </w:rPr>
        <w:t>（牵头单位：</w:t>
      </w:r>
      <w:r>
        <w:rPr>
          <w:rFonts w:hint="eastAsia" w:eastAsia="楷体_GB2312" w:cs="Times New Roman"/>
          <w:kern w:val="2"/>
          <w:sz w:val="34"/>
          <w:szCs w:val="34"/>
          <w:highlight w:val="none"/>
          <w:u w:val="none"/>
          <w:lang w:val="en-US" w:eastAsia="zh-CN" w:bidi="ar-SA"/>
        </w:rPr>
        <w:t>市能源局</w:t>
      </w:r>
      <w:r>
        <w:rPr>
          <w:rFonts w:hint="default" w:ascii="Times New Roman" w:hAnsi="Times New Roman" w:eastAsia="楷体_GB2312" w:cs="Times New Roman"/>
          <w:kern w:val="2"/>
          <w:sz w:val="34"/>
          <w:szCs w:val="34"/>
          <w:highlight w:val="none"/>
          <w:u w:val="none"/>
          <w:lang w:val="en-US" w:eastAsia="zh-CN" w:bidi="ar-SA"/>
        </w:rPr>
        <w:t>，配合单位：</w:t>
      </w:r>
      <w:r>
        <w:rPr>
          <w:rFonts w:hint="eastAsia" w:ascii="Times New Roman" w:hAnsi="Times New Roman" w:eastAsia="楷体_GB2312" w:cs="Times New Roman"/>
          <w:kern w:val="2"/>
          <w:sz w:val="34"/>
          <w:szCs w:val="34"/>
          <w:highlight w:val="none"/>
          <w:u w:val="none"/>
          <w:lang w:val="en-US" w:eastAsia="zh-CN" w:bidi="ar-SA"/>
        </w:rPr>
        <w:t>吉林电力股份有限公司</w:t>
      </w:r>
      <w:r>
        <w:rPr>
          <w:rFonts w:hint="default" w:ascii="Times New Roman" w:hAnsi="Times New Roman" w:eastAsia="楷体_GB2312" w:cs="Times New Roman"/>
          <w:kern w:val="2"/>
          <w:sz w:val="34"/>
          <w:szCs w:val="34"/>
          <w:highlight w:val="none"/>
          <w:u w:val="none"/>
          <w:lang w:val="en-US" w:eastAsia="zh-CN" w:bidi="ar-SA"/>
        </w:rPr>
        <w:t>、</w:t>
      </w:r>
      <w:r>
        <w:rPr>
          <w:rFonts w:hint="eastAsia" w:ascii="Times New Roman" w:hAnsi="Times New Roman" w:eastAsia="楷体_GB2312" w:cs="Times New Roman"/>
          <w:kern w:val="2"/>
          <w:sz w:val="34"/>
          <w:szCs w:val="34"/>
          <w:highlight w:val="none"/>
          <w:u w:val="none"/>
          <w:lang w:val="en-US" w:eastAsia="zh-CN" w:bidi="ar-SA"/>
        </w:rPr>
        <w:t>远景能源有限公司</w:t>
      </w:r>
      <w:r>
        <w:rPr>
          <w:rFonts w:hint="default" w:ascii="Times New Roman" w:hAnsi="Times New Roman" w:eastAsia="楷体_GB2312" w:cs="Times New Roman"/>
          <w:kern w:val="2"/>
          <w:sz w:val="34"/>
          <w:szCs w:val="34"/>
          <w:highlight w:val="none"/>
          <w:u w:val="none"/>
          <w:lang w:val="en-US" w:eastAsia="zh-CN" w:bidi="ar-SA"/>
        </w:rPr>
        <w:t>、</w:t>
      </w:r>
      <w:r>
        <w:rPr>
          <w:rFonts w:hint="eastAsia" w:ascii="Times New Roman" w:hAnsi="Times New Roman" w:eastAsia="楷体_GB2312" w:cs="Times New Roman"/>
          <w:kern w:val="2"/>
          <w:sz w:val="34"/>
          <w:szCs w:val="34"/>
          <w:highlight w:val="none"/>
          <w:u w:val="none"/>
          <w:lang w:val="en-US" w:eastAsia="zh-CN" w:bidi="ar-SA"/>
        </w:rPr>
        <w:t>白城市能源投资集团有限公司</w:t>
      </w:r>
      <w:r>
        <w:rPr>
          <w:rFonts w:hint="default" w:ascii="Times New Roman" w:hAnsi="Times New Roman" w:eastAsia="楷体_GB2312" w:cs="Times New Roman"/>
          <w:kern w:val="2"/>
          <w:sz w:val="34"/>
          <w:szCs w:val="34"/>
          <w:highlight w:val="none"/>
          <w:u w:val="none"/>
          <w:lang w:val="en-US" w:eastAsia="zh-CN" w:bidi="ar-SA"/>
        </w:rPr>
        <w:t>、</w:t>
      </w:r>
      <w:r>
        <w:rPr>
          <w:rFonts w:hint="eastAsia" w:ascii="Times New Roman" w:hAnsi="Times New Roman" w:eastAsia="楷体_GB2312" w:cs="Times New Roman"/>
          <w:kern w:val="2"/>
          <w:sz w:val="34"/>
          <w:szCs w:val="34"/>
          <w:highlight w:val="none"/>
          <w:u w:val="none"/>
          <w:lang w:val="en-US" w:eastAsia="zh-CN" w:bidi="ar-SA"/>
        </w:rPr>
        <w:t>白城东升城市基础设施建设有限公司</w:t>
      </w:r>
      <w:r>
        <w:rPr>
          <w:rFonts w:hint="default" w:ascii="Times New Roman" w:hAnsi="Times New Roman" w:eastAsia="楷体_GB2312" w:cs="Times New Roman"/>
          <w:kern w:val="2"/>
          <w:sz w:val="34"/>
          <w:szCs w:val="34"/>
          <w:highlight w:val="none"/>
          <w:u w:val="none"/>
          <w:lang w:val="en-US" w:eastAsia="zh-CN" w:bidi="ar-SA"/>
        </w:rPr>
        <w:t>）</w:t>
      </w:r>
    </w:p>
    <w:p>
      <w:pPr>
        <w:pStyle w:val="16"/>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80" w:firstLineChars="0"/>
        <w:textAlignment w:val="auto"/>
        <w:rPr>
          <w:rFonts w:hint="default" w:ascii="Times New Roman" w:hAnsi="Times New Roman" w:eastAsia="楷体_GB2312" w:cs="Times New Roman"/>
          <w:kern w:val="2"/>
          <w:sz w:val="34"/>
          <w:szCs w:val="34"/>
          <w:highlight w:val="none"/>
          <w:u w:val="none"/>
          <w:lang w:val="en-US" w:eastAsia="zh-CN" w:bidi="ar-SA"/>
        </w:rPr>
      </w:pPr>
      <w:r>
        <w:rPr>
          <w:rFonts w:hint="default" w:ascii="仿宋" w:hAnsi="仿宋" w:eastAsia="仿宋" w:cs="仿宋"/>
          <w:b/>
          <w:bCs/>
          <w:kern w:val="2"/>
          <w:sz w:val="34"/>
          <w:szCs w:val="34"/>
          <w:highlight w:val="none"/>
          <w:u w:val="none"/>
          <w:lang w:val="en-US" w:eastAsia="zh-CN" w:bidi="ar-SA"/>
        </w:rPr>
        <w:t>5.</w:t>
      </w:r>
      <w:r>
        <w:rPr>
          <w:rFonts w:hint="eastAsia" w:ascii="仿宋" w:hAnsi="仿宋" w:eastAsia="仿宋" w:cs="仿宋"/>
          <w:b/>
          <w:bCs/>
          <w:kern w:val="2"/>
          <w:sz w:val="34"/>
          <w:szCs w:val="34"/>
          <w:highlight w:val="none"/>
          <w:u w:val="none"/>
          <w:lang w:val="en-US" w:eastAsia="zh-CN" w:bidi="ar-SA"/>
        </w:rPr>
        <w:t>高标准</w:t>
      </w:r>
      <w:r>
        <w:rPr>
          <w:rFonts w:hint="default" w:ascii="仿宋" w:hAnsi="仿宋" w:eastAsia="仿宋" w:cs="仿宋"/>
          <w:b/>
          <w:bCs/>
          <w:kern w:val="2"/>
          <w:sz w:val="34"/>
          <w:szCs w:val="34"/>
          <w:highlight w:val="none"/>
          <w:u w:val="none"/>
          <w:lang w:val="en-US" w:eastAsia="zh-CN" w:bidi="ar-SA"/>
        </w:rPr>
        <w:t>建设配电网。</w:t>
      </w:r>
      <w:r>
        <w:rPr>
          <w:rFonts w:hint="eastAsia" w:ascii="仿宋" w:hAnsi="仿宋" w:eastAsia="仿宋" w:cs="仿宋"/>
          <w:b w:val="0"/>
          <w:bCs w:val="0"/>
          <w:kern w:val="2"/>
          <w:sz w:val="34"/>
          <w:szCs w:val="34"/>
          <w:highlight w:val="none"/>
          <w:u w:val="none"/>
          <w:lang w:val="en-US" w:eastAsia="zh-CN" w:bidi="ar-SA"/>
        </w:rPr>
        <w:t>配售电公司组建完成后，立即着手开展配电网建设前期各项工作，力争9</w:t>
      </w:r>
      <w:r>
        <w:rPr>
          <w:rFonts w:hint="default" w:ascii="仿宋" w:hAnsi="仿宋" w:eastAsia="仿宋" w:cs="仿宋"/>
          <w:b w:val="0"/>
          <w:bCs w:val="0"/>
          <w:kern w:val="2"/>
          <w:sz w:val="34"/>
          <w:szCs w:val="34"/>
          <w:highlight w:val="none"/>
          <w:u w:val="none"/>
          <w:lang w:val="en-US" w:eastAsia="zh-CN" w:bidi="ar-SA"/>
        </w:rPr>
        <w:t>月开工</w:t>
      </w:r>
      <w:r>
        <w:rPr>
          <w:rFonts w:hint="eastAsia" w:ascii="仿宋" w:hAnsi="仿宋" w:eastAsia="仿宋" w:cs="仿宋"/>
          <w:b w:val="0"/>
          <w:bCs w:val="0"/>
          <w:kern w:val="2"/>
          <w:sz w:val="34"/>
          <w:szCs w:val="34"/>
          <w:highlight w:val="none"/>
          <w:u w:val="none"/>
          <w:lang w:val="en-US" w:eastAsia="zh-CN" w:bidi="ar-SA"/>
        </w:rPr>
        <w:t>建设</w:t>
      </w:r>
      <w:r>
        <w:rPr>
          <w:rFonts w:hint="default" w:ascii="仿宋" w:hAnsi="仿宋" w:eastAsia="仿宋" w:cs="仿宋"/>
          <w:b w:val="0"/>
          <w:bCs w:val="0"/>
          <w:kern w:val="2"/>
          <w:sz w:val="34"/>
          <w:szCs w:val="34"/>
          <w:highlight w:val="none"/>
          <w:u w:val="none"/>
          <w:lang w:val="en-US" w:eastAsia="zh-CN" w:bidi="ar-SA"/>
        </w:rPr>
        <w:t>，2022年</w:t>
      </w:r>
      <w:r>
        <w:rPr>
          <w:rFonts w:hint="eastAsia" w:ascii="仿宋" w:hAnsi="仿宋" w:eastAsia="仿宋" w:cs="仿宋"/>
          <w:b w:val="0"/>
          <w:bCs w:val="0"/>
          <w:kern w:val="2"/>
          <w:sz w:val="34"/>
          <w:szCs w:val="34"/>
          <w:highlight w:val="none"/>
          <w:u w:val="none"/>
          <w:lang w:val="en-US" w:eastAsia="zh-CN" w:bidi="ar-SA"/>
        </w:rPr>
        <w:t>6</w:t>
      </w:r>
      <w:r>
        <w:rPr>
          <w:rFonts w:hint="default" w:ascii="仿宋" w:hAnsi="仿宋" w:eastAsia="仿宋" w:cs="仿宋"/>
          <w:b w:val="0"/>
          <w:bCs w:val="0"/>
          <w:kern w:val="2"/>
          <w:sz w:val="34"/>
          <w:szCs w:val="34"/>
          <w:highlight w:val="none"/>
          <w:u w:val="none"/>
          <w:lang w:val="en-US" w:eastAsia="zh-CN" w:bidi="ar-SA"/>
        </w:rPr>
        <w:t>月</w:t>
      </w:r>
      <w:r>
        <w:rPr>
          <w:rFonts w:hint="eastAsia" w:ascii="仿宋" w:hAnsi="仿宋" w:eastAsia="仿宋" w:cs="仿宋"/>
          <w:b w:val="0"/>
          <w:bCs w:val="0"/>
          <w:kern w:val="2"/>
          <w:sz w:val="34"/>
          <w:szCs w:val="34"/>
          <w:highlight w:val="none"/>
          <w:u w:val="none"/>
          <w:lang w:val="en-US" w:eastAsia="zh-CN" w:bidi="ar-SA"/>
        </w:rPr>
        <w:t>30日前竣工验收，与源、网、荷、储各环节有机衔接，</w:t>
      </w:r>
      <w:r>
        <w:rPr>
          <w:rFonts w:hint="default" w:ascii="仿宋" w:hAnsi="仿宋" w:eastAsia="仿宋" w:cs="仿宋"/>
          <w:b w:val="0"/>
          <w:bCs w:val="0"/>
          <w:kern w:val="2"/>
          <w:sz w:val="34"/>
          <w:szCs w:val="34"/>
          <w:highlight w:val="none"/>
          <w:u w:val="none"/>
          <w:lang w:val="en-US" w:eastAsia="zh-CN" w:bidi="ar-SA"/>
        </w:rPr>
        <w:t>实现“源网荷储一体化”模式</w:t>
      </w:r>
      <w:r>
        <w:rPr>
          <w:rFonts w:hint="eastAsia" w:ascii="仿宋" w:hAnsi="仿宋" w:eastAsia="仿宋" w:cs="仿宋"/>
          <w:b w:val="0"/>
          <w:bCs w:val="0"/>
          <w:kern w:val="2"/>
          <w:sz w:val="34"/>
          <w:szCs w:val="34"/>
          <w:highlight w:val="none"/>
          <w:u w:val="none"/>
          <w:lang w:val="en-US" w:eastAsia="zh-CN" w:bidi="ar-SA"/>
        </w:rPr>
        <w:t>联合运营</w:t>
      </w:r>
      <w:r>
        <w:rPr>
          <w:rFonts w:hint="default" w:ascii="仿宋" w:hAnsi="仿宋" w:eastAsia="仿宋" w:cs="仿宋"/>
          <w:b w:val="0"/>
          <w:bCs w:val="0"/>
          <w:kern w:val="2"/>
          <w:sz w:val="34"/>
          <w:szCs w:val="34"/>
          <w:highlight w:val="none"/>
          <w:u w:val="none"/>
          <w:lang w:val="en-US" w:eastAsia="zh-CN" w:bidi="ar-SA"/>
        </w:rPr>
        <w:t>。</w:t>
      </w:r>
      <w:r>
        <w:rPr>
          <w:rFonts w:hint="default" w:ascii="Times New Roman" w:hAnsi="Times New Roman" w:eastAsia="楷体_GB2312" w:cs="Times New Roman"/>
          <w:kern w:val="2"/>
          <w:sz w:val="34"/>
          <w:szCs w:val="34"/>
          <w:highlight w:val="none"/>
          <w:u w:val="none"/>
          <w:lang w:val="en-US" w:eastAsia="zh-CN" w:bidi="ar-SA"/>
        </w:rPr>
        <w:t>（牵头单位：</w:t>
      </w:r>
      <w:r>
        <w:rPr>
          <w:rFonts w:hint="eastAsia" w:ascii="Times New Roman" w:hAnsi="Times New Roman" w:eastAsia="楷体_GB2312" w:cs="Times New Roman"/>
          <w:kern w:val="2"/>
          <w:sz w:val="34"/>
          <w:szCs w:val="34"/>
          <w:highlight w:val="none"/>
          <w:u w:val="none"/>
          <w:lang w:val="en-US" w:eastAsia="zh-CN" w:bidi="ar-SA"/>
        </w:rPr>
        <w:t>白城绿电园区配售电有限公司</w:t>
      </w:r>
      <w:r>
        <w:rPr>
          <w:rFonts w:hint="default" w:ascii="Times New Roman" w:hAnsi="Times New Roman" w:eastAsia="楷体_GB2312" w:cs="Times New Roman"/>
          <w:kern w:val="2"/>
          <w:sz w:val="34"/>
          <w:szCs w:val="34"/>
          <w:highlight w:val="none"/>
          <w:u w:val="none"/>
          <w:lang w:val="en-US" w:eastAsia="zh-CN" w:bidi="ar-SA"/>
        </w:rPr>
        <w:t>，配合单位：</w:t>
      </w:r>
      <w:r>
        <w:rPr>
          <w:rFonts w:hint="eastAsia" w:eastAsia="楷体_GB2312" w:cs="Times New Roman"/>
          <w:kern w:val="2"/>
          <w:sz w:val="34"/>
          <w:szCs w:val="34"/>
          <w:highlight w:val="none"/>
          <w:u w:val="none"/>
          <w:lang w:val="en-US" w:eastAsia="zh-CN" w:bidi="ar-SA"/>
        </w:rPr>
        <w:t>市自然资源局、市生态环境局、</w:t>
      </w:r>
      <w:r>
        <w:rPr>
          <w:rFonts w:hint="eastAsia" w:ascii="Times New Roman" w:hAnsi="Times New Roman" w:eastAsia="楷体_GB2312" w:cs="Times New Roman"/>
          <w:kern w:val="2"/>
          <w:sz w:val="34"/>
          <w:szCs w:val="34"/>
          <w:highlight w:val="none"/>
          <w:u w:val="none"/>
          <w:lang w:val="en-US" w:eastAsia="zh-CN" w:bidi="ar-SA"/>
        </w:rPr>
        <w:t>国网吉林省电力有限公司白城供电公司</w:t>
      </w:r>
      <w:r>
        <w:rPr>
          <w:rFonts w:hint="default" w:ascii="Times New Roman" w:hAnsi="Times New Roman" w:eastAsia="楷体_GB2312" w:cs="Times New Roman"/>
          <w:kern w:val="2"/>
          <w:sz w:val="34"/>
          <w:szCs w:val="34"/>
          <w:highlight w:val="none"/>
          <w:u w:val="none"/>
          <w:lang w:val="en-US" w:eastAsia="zh-CN" w:bidi="ar-SA"/>
        </w:rPr>
        <w:t>、</w:t>
      </w:r>
      <w:r>
        <w:rPr>
          <w:rFonts w:hint="eastAsia" w:ascii="Times New Roman" w:hAnsi="Times New Roman" w:eastAsia="楷体_GB2312" w:cs="Times New Roman"/>
          <w:kern w:val="2"/>
          <w:sz w:val="34"/>
          <w:szCs w:val="34"/>
          <w:highlight w:val="none"/>
          <w:u w:val="none"/>
          <w:lang w:val="en-US" w:eastAsia="zh-CN" w:bidi="ar-SA"/>
        </w:rPr>
        <w:t>吉林电力股份有限公司</w:t>
      </w:r>
      <w:r>
        <w:rPr>
          <w:rFonts w:hint="default" w:ascii="Times New Roman" w:hAnsi="Times New Roman" w:eastAsia="楷体_GB2312" w:cs="Times New Roman"/>
          <w:kern w:val="2"/>
          <w:sz w:val="34"/>
          <w:szCs w:val="34"/>
          <w:highlight w:val="none"/>
          <w:u w:val="none"/>
          <w:lang w:val="en-US" w:eastAsia="zh-CN" w:bidi="ar-SA"/>
        </w:rPr>
        <w:t>、</w:t>
      </w:r>
      <w:r>
        <w:rPr>
          <w:rFonts w:hint="eastAsia" w:ascii="Times New Roman" w:hAnsi="Times New Roman" w:eastAsia="楷体_GB2312" w:cs="Times New Roman"/>
          <w:kern w:val="2"/>
          <w:sz w:val="34"/>
          <w:szCs w:val="34"/>
          <w:highlight w:val="none"/>
          <w:u w:val="none"/>
          <w:lang w:val="en-US" w:eastAsia="zh-CN" w:bidi="ar-SA"/>
        </w:rPr>
        <w:t>远景能源有限公司</w:t>
      </w:r>
      <w:r>
        <w:rPr>
          <w:rFonts w:hint="default" w:ascii="Times New Roman" w:hAnsi="Times New Roman" w:eastAsia="楷体_GB2312" w:cs="Times New Roman"/>
          <w:kern w:val="2"/>
          <w:sz w:val="34"/>
          <w:szCs w:val="34"/>
          <w:highlight w:val="none"/>
          <w:u w:val="none"/>
          <w:lang w:val="en-US" w:eastAsia="zh-CN" w:bidi="ar-SA"/>
        </w:rPr>
        <w:t>、</w:t>
      </w:r>
      <w:r>
        <w:rPr>
          <w:rFonts w:hint="eastAsia" w:ascii="Times New Roman" w:hAnsi="Times New Roman" w:eastAsia="楷体_GB2312" w:cs="Times New Roman"/>
          <w:kern w:val="2"/>
          <w:sz w:val="34"/>
          <w:szCs w:val="34"/>
          <w:highlight w:val="none"/>
          <w:u w:val="none"/>
          <w:lang w:val="en-US" w:eastAsia="zh-CN" w:bidi="ar-SA"/>
        </w:rPr>
        <w:t>洮北区</w:t>
      </w:r>
      <w:r>
        <w:rPr>
          <w:rFonts w:hint="eastAsia" w:eastAsia="楷体_GB2312" w:cs="Times New Roman"/>
          <w:kern w:val="2"/>
          <w:sz w:val="34"/>
          <w:szCs w:val="34"/>
          <w:highlight w:val="none"/>
          <w:u w:val="none"/>
          <w:lang w:val="en-US" w:eastAsia="zh-CN" w:bidi="ar-SA"/>
        </w:rPr>
        <w:t>、白城工业园区</w:t>
      </w:r>
      <w:r>
        <w:rPr>
          <w:rFonts w:hint="default" w:ascii="Times New Roman" w:hAnsi="Times New Roman" w:eastAsia="楷体_GB2312" w:cs="Times New Roman"/>
          <w:kern w:val="2"/>
          <w:sz w:val="34"/>
          <w:szCs w:val="34"/>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80" w:firstLineChars="200"/>
        <w:textAlignment w:val="auto"/>
        <w:rPr>
          <w:rFonts w:hint="default" w:ascii="Times New Roman" w:hAnsi="Times New Roman" w:eastAsia="楷体_GB2312" w:cs="Times New Roman"/>
          <w:kern w:val="2"/>
          <w:sz w:val="34"/>
          <w:szCs w:val="34"/>
          <w:highlight w:val="none"/>
          <w:u w:val="none"/>
          <w:lang w:val="en-US" w:eastAsia="zh-CN" w:bidi="ar-SA"/>
        </w:rPr>
      </w:pPr>
      <w:r>
        <w:rPr>
          <w:rFonts w:hint="eastAsia" w:ascii="仿宋" w:hAnsi="仿宋" w:eastAsia="仿宋" w:cs="仿宋"/>
          <w:b/>
          <w:bCs/>
          <w:kern w:val="2"/>
          <w:sz w:val="34"/>
          <w:szCs w:val="34"/>
          <w:highlight w:val="none"/>
          <w:u w:val="none"/>
          <w:lang w:val="en-US" w:eastAsia="zh-CN" w:bidi="ar-SA"/>
        </w:rPr>
        <w:t>6.加强智能化管理。</w:t>
      </w:r>
      <w:r>
        <w:rPr>
          <w:rFonts w:hint="eastAsia" w:ascii="仿宋" w:hAnsi="仿宋" w:eastAsia="仿宋" w:cs="仿宋"/>
          <w:kern w:val="2"/>
          <w:sz w:val="34"/>
          <w:szCs w:val="34"/>
          <w:highlight w:val="none"/>
          <w:u w:val="none"/>
          <w:lang w:val="en-US" w:eastAsia="zh-CN" w:bidi="ar-SA"/>
        </w:rPr>
        <w:t>引进先进的智能化管理技术，提升</w:t>
      </w:r>
      <w:r>
        <w:rPr>
          <w:rFonts w:hint="eastAsia" w:ascii="仿宋" w:hAnsi="仿宋" w:eastAsia="仿宋" w:cs="仿宋"/>
          <w:b w:val="0"/>
          <w:bCs w:val="0"/>
          <w:kern w:val="2"/>
          <w:sz w:val="34"/>
          <w:szCs w:val="34"/>
          <w:highlight w:val="none"/>
          <w:u w:val="none"/>
          <w:lang w:val="en-US" w:eastAsia="zh-CN" w:bidi="ar-SA"/>
        </w:rPr>
        <w:t>增量配电网的建设和运营能力。</w:t>
      </w:r>
      <w:r>
        <w:rPr>
          <w:rFonts w:hint="eastAsia" w:ascii="仿宋" w:hAnsi="仿宋" w:eastAsia="仿宋" w:cs="仿宋"/>
          <w:kern w:val="2"/>
          <w:sz w:val="34"/>
          <w:szCs w:val="34"/>
          <w:highlight w:val="none"/>
          <w:u w:val="none"/>
          <w:lang w:val="en-US" w:eastAsia="zh-CN" w:bidi="ar-SA"/>
        </w:rPr>
        <w:t>持续接转吉电股份和远景能源</w:t>
      </w:r>
      <w:r>
        <w:rPr>
          <w:rFonts w:hint="default" w:ascii="仿宋" w:hAnsi="仿宋" w:eastAsia="仿宋" w:cs="仿宋"/>
          <w:kern w:val="2"/>
          <w:sz w:val="34"/>
          <w:szCs w:val="34"/>
          <w:highlight w:val="none"/>
          <w:u w:val="none"/>
          <w:lang w:eastAsia="zh-CN" w:bidi="ar-SA"/>
        </w:rPr>
        <w:t>以及业界</w:t>
      </w:r>
      <w:r>
        <w:rPr>
          <w:rFonts w:hint="eastAsia" w:ascii="仿宋" w:hAnsi="仿宋" w:eastAsia="仿宋" w:cs="仿宋"/>
          <w:kern w:val="2"/>
          <w:sz w:val="34"/>
          <w:szCs w:val="34"/>
          <w:highlight w:val="none"/>
          <w:u w:val="none"/>
          <w:lang w:val="en-US" w:eastAsia="zh-CN" w:bidi="ar-SA"/>
        </w:rPr>
        <w:t>创新成果</w:t>
      </w:r>
      <w:r>
        <w:rPr>
          <w:rFonts w:hint="default" w:ascii="仿宋" w:hAnsi="仿宋" w:eastAsia="仿宋" w:cs="仿宋"/>
          <w:kern w:val="2"/>
          <w:sz w:val="34"/>
          <w:szCs w:val="34"/>
          <w:highlight w:val="none"/>
          <w:u w:val="none"/>
          <w:lang w:eastAsia="zh-CN" w:bidi="ar-SA"/>
        </w:rPr>
        <w:t>、先进</w:t>
      </w:r>
      <w:r>
        <w:rPr>
          <w:rFonts w:hint="eastAsia" w:ascii="仿宋" w:hAnsi="仿宋" w:eastAsia="仿宋" w:cs="仿宋"/>
          <w:kern w:val="2"/>
          <w:sz w:val="34"/>
          <w:szCs w:val="34"/>
          <w:highlight w:val="none"/>
          <w:u w:val="none"/>
          <w:lang w:val="en-US" w:eastAsia="zh-CN" w:bidi="ar-SA"/>
        </w:rPr>
        <w:t>理念，提高系统运行的可靠性，降低用电成本，创造更大的综合盈利空间。</w:t>
      </w:r>
      <w:r>
        <w:rPr>
          <w:rFonts w:hint="default" w:ascii="Times New Roman" w:hAnsi="Times New Roman" w:eastAsia="楷体_GB2312" w:cs="Times New Roman"/>
          <w:kern w:val="2"/>
          <w:sz w:val="34"/>
          <w:szCs w:val="34"/>
          <w:highlight w:val="none"/>
          <w:u w:val="none"/>
          <w:lang w:val="en-US" w:eastAsia="zh-CN" w:bidi="ar-SA"/>
        </w:rPr>
        <w:t>（牵头单位：</w:t>
      </w:r>
      <w:r>
        <w:rPr>
          <w:rFonts w:hint="eastAsia" w:ascii="Times New Roman" w:hAnsi="Times New Roman" w:eastAsia="楷体_GB2312" w:cs="Times New Roman"/>
          <w:kern w:val="2"/>
          <w:sz w:val="34"/>
          <w:szCs w:val="34"/>
          <w:highlight w:val="none"/>
          <w:u w:val="none"/>
          <w:lang w:val="en-US" w:eastAsia="zh-CN" w:bidi="ar-SA"/>
        </w:rPr>
        <w:t>白城绿电园区配售电有限公司</w:t>
      </w:r>
      <w:r>
        <w:rPr>
          <w:rFonts w:hint="default" w:ascii="Times New Roman" w:hAnsi="Times New Roman" w:eastAsia="楷体_GB2312" w:cs="Times New Roman"/>
          <w:kern w:val="2"/>
          <w:sz w:val="34"/>
          <w:szCs w:val="34"/>
          <w:highlight w:val="none"/>
          <w:u w:val="none"/>
          <w:lang w:val="en-US" w:eastAsia="zh-CN" w:bidi="ar-SA"/>
        </w:rPr>
        <w:t>，配合单位：</w:t>
      </w:r>
      <w:r>
        <w:rPr>
          <w:rFonts w:hint="eastAsia" w:ascii="Times New Roman" w:hAnsi="Times New Roman" w:eastAsia="楷体_GB2312" w:cs="Times New Roman"/>
          <w:kern w:val="2"/>
          <w:sz w:val="34"/>
          <w:szCs w:val="34"/>
          <w:highlight w:val="none"/>
          <w:u w:val="none"/>
          <w:lang w:val="en-US" w:eastAsia="zh-CN" w:bidi="ar-SA"/>
        </w:rPr>
        <w:t>国网吉林省电力有限公司白城供电公司、洮北区</w:t>
      </w:r>
      <w:r>
        <w:rPr>
          <w:rFonts w:hint="default" w:ascii="Times New Roman" w:hAnsi="Times New Roman" w:eastAsia="楷体_GB2312" w:cs="Times New Roman"/>
          <w:kern w:val="2"/>
          <w:sz w:val="34"/>
          <w:szCs w:val="34"/>
          <w:highlight w:val="none"/>
          <w:u w:val="none"/>
          <w:lang w:val="en-US" w:eastAsia="zh-CN" w:bidi="ar-SA"/>
        </w:rPr>
        <w:t>）</w:t>
      </w:r>
    </w:p>
    <w:p>
      <w:pPr>
        <w:pStyle w:val="16"/>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80" w:firstLineChars="0"/>
        <w:textAlignment w:val="auto"/>
        <w:rPr>
          <w:rFonts w:hint="default"/>
          <w:lang w:val="en-US" w:eastAsia="zh-CN"/>
        </w:rPr>
      </w:pPr>
      <w:r>
        <w:rPr>
          <w:rFonts w:hint="eastAsia" w:ascii="仿宋" w:hAnsi="仿宋" w:eastAsia="仿宋" w:cs="仿宋"/>
          <w:b/>
          <w:bCs/>
          <w:kern w:val="2"/>
          <w:sz w:val="34"/>
          <w:szCs w:val="34"/>
          <w:highlight w:val="none"/>
          <w:u w:val="none"/>
          <w:lang w:val="en-US" w:eastAsia="zh-CN" w:bidi="ar-SA"/>
        </w:rPr>
        <w:t>7.集聚优势资源要素。</w:t>
      </w:r>
      <w:r>
        <w:rPr>
          <w:rFonts w:hint="eastAsia" w:ascii="仿宋" w:hAnsi="仿宋" w:eastAsia="仿宋" w:cs="仿宋"/>
          <w:b w:val="0"/>
          <w:bCs w:val="0"/>
          <w:color w:val="000000" w:themeColor="text1"/>
          <w:kern w:val="2"/>
          <w:sz w:val="34"/>
          <w:szCs w:val="34"/>
          <w:highlight w:val="none"/>
          <w:u w:val="none"/>
          <w:lang w:val="en-US" w:eastAsia="zh-CN" w:bidi="ar-SA"/>
          <w14:textFill>
            <w14:solidFill>
              <w14:schemeClr w14:val="tx1"/>
            </w14:solidFill>
          </w14:textFill>
        </w:rPr>
        <w:t>本着“共建、共用、共享”发展理念和运营模式，集中全市优势资源，以白城绿电产业示范园区为中心100公里半径内的风、光资源，属地各县（市、区）不再单独向社会招商和申报，由园区建设领导小组统筹调配，用于支撑园区用能。制定</w:t>
      </w:r>
      <w:r>
        <w:rPr>
          <w:rFonts w:hint="eastAsia" w:ascii="仿宋" w:hAnsi="仿宋" w:eastAsia="仿宋" w:cs="仿宋"/>
          <w:color w:val="000000" w:themeColor="text1"/>
          <w:kern w:val="2"/>
          <w:sz w:val="34"/>
          <w:szCs w:val="34"/>
          <w:highlight w:val="none"/>
          <w:u w:val="none"/>
          <w:lang w:val="en-US" w:eastAsia="zh-CN" w:bidi="ar-SA"/>
          <w14:textFill>
            <w14:solidFill>
              <w14:schemeClr w14:val="tx1"/>
            </w14:solidFill>
          </w14:textFill>
        </w:rPr>
        <w:t>出台《关于风光资源集约使用及收益分配指导意见》，平衡好资源与收益的对应关系，做到“项目集中摆放、收益共同分享”，确保园区科学、合理、有序发展。</w:t>
      </w:r>
      <w:r>
        <w:rPr>
          <w:rFonts w:hint="default" w:ascii="Times New Roman" w:hAnsi="Times New Roman" w:eastAsia="楷体_GB2312" w:cs="Times New Roman"/>
          <w:kern w:val="2"/>
          <w:sz w:val="34"/>
          <w:szCs w:val="34"/>
          <w:highlight w:val="none"/>
          <w:u w:val="none"/>
          <w:lang w:val="en-US" w:eastAsia="zh-CN" w:bidi="ar-SA"/>
        </w:rPr>
        <w:t>（牵头单位：</w:t>
      </w:r>
      <w:r>
        <w:rPr>
          <w:rFonts w:hint="eastAsia" w:eastAsia="楷体_GB2312" w:cs="Times New Roman"/>
          <w:kern w:val="2"/>
          <w:sz w:val="34"/>
          <w:szCs w:val="34"/>
          <w:highlight w:val="none"/>
          <w:u w:val="none"/>
          <w:lang w:val="en-US" w:eastAsia="zh-CN" w:bidi="ar-SA"/>
        </w:rPr>
        <w:t>市能源局</w:t>
      </w:r>
      <w:r>
        <w:rPr>
          <w:rFonts w:hint="default" w:ascii="Times New Roman" w:hAnsi="Times New Roman" w:eastAsia="楷体_GB2312" w:cs="Times New Roman"/>
          <w:kern w:val="2"/>
          <w:sz w:val="34"/>
          <w:szCs w:val="34"/>
          <w:highlight w:val="none"/>
          <w:u w:val="none"/>
          <w:lang w:val="en-US" w:eastAsia="zh-CN" w:bidi="ar-SA"/>
        </w:rPr>
        <w:t>，配合单位：</w:t>
      </w:r>
      <w:r>
        <w:rPr>
          <w:rFonts w:hint="eastAsia" w:eastAsia="楷体_GB2312" w:cs="Times New Roman"/>
          <w:kern w:val="2"/>
          <w:sz w:val="34"/>
          <w:szCs w:val="34"/>
          <w:highlight w:val="none"/>
          <w:u w:val="none"/>
          <w:lang w:val="en-US" w:eastAsia="zh-CN" w:bidi="ar-SA"/>
        </w:rPr>
        <w:t>市财政局、各县（市、区）</w:t>
      </w:r>
      <w:r>
        <w:rPr>
          <w:rFonts w:hint="default" w:ascii="Times New Roman" w:hAnsi="Times New Roman" w:eastAsia="楷体_GB2312" w:cs="Times New Roman"/>
          <w:kern w:val="2"/>
          <w:sz w:val="34"/>
          <w:szCs w:val="34"/>
          <w:highlight w:val="none"/>
          <w:u w:val="none"/>
          <w:lang w:val="en-US" w:eastAsia="zh-CN" w:bidi="ar-SA"/>
        </w:rPr>
        <w:t>）</w:t>
      </w:r>
    </w:p>
    <w:p>
      <w:pPr>
        <w:pStyle w:val="16"/>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80" w:firstLineChars="200"/>
        <w:textAlignment w:val="auto"/>
        <w:rPr>
          <w:rFonts w:hint="default" w:ascii="Times New Roman" w:hAnsi="Times New Roman" w:eastAsia="楷体_GB2312" w:cs="Times New Roman"/>
          <w:b w:val="0"/>
          <w:bCs w:val="0"/>
          <w:kern w:val="2"/>
          <w:sz w:val="34"/>
          <w:szCs w:val="34"/>
          <w:highlight w:val="none"/>
          <w:u w:val="none"/>
          <w:lang w:val="en-US" w:eastAsia="zh-CN" w:bidi="ar-SA"/>
        </w:rPr>
      </w:pPr>
      <w:r>
        <w:rPr>
          <w:rFonts w:hint="default" w:ascii="Times New Roman" w:hAnsi="Times New Roman" w:eastAsia="楷体_GB2312" w:cs="Times New Roman"/>
          <w:b w:val="0"/>
          <w:bCs w:val="0"/>
          <w:kern w:val="2"/>
          <w:sz w:val="34"/>
          <w:szCs w:val="34"/>
          <w:highlight w:val="none"/>
          <w:u w:val="none"/>
          <w:lang w:val="en-US" w:eastAsia="zh-CN" w:bidi="ar-SA"/>
        </w:rPr>
        <w:t>（二）</w:t>
      </w:r>
      <w:r>
        <w:rPr>
          <w:rFonts w:hint="eastAsia" w:ascii="Times New Roman" w:hAnsi="Times New Roman" w:eastAsia="楷体_GB2312" w:cs="Times New Roman"/>
          <w:b w:val="0"/>
          <w:bCs w:val="0"/>
          <w:kern w:val="2"/>
          <w:sz w:val="34"/>
          <w:szCs w:val="34"/>
          <w:highlight w:val="none"/>
          <w:u w:val="none"/>
          <w:lang w:val="en-US" w:eastAsia="zh-CN" w:bidi="ar-SA"/>
        </w:rPr>
        <w:t>加快</w:t>
      </w:r>
      <w:r>
        <w:rPr>
          <w:rFonts w:hint="eastAsia" w:eastAsia="楷体_GB2312" w:cs="Times New Roman"/>
          <w:b w:val="0"/>
          <w:bCs w:val="0"/>
          <w:kern w:val="2"/>
          <w:sz w:val="34"/>
          <w:szCs w:val="34"/>
          <w:highlight w:val="none"/>
          <w:u w:val="none"/>
          <w:lang w:val="en-US" w:eastAsia="zh-CN" w:bidi="ar-SA"/>
        </w:rPr>
        <w:t>园区基础设施建设</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firstLine="680" w:firstLineChars="200"/>
        <w:textAlignment w:val="auto"/>
        <w:rPr>
          <w:rFonts w:hint="default" w:ascii="Times New Roman" w:hAnsi="Times New Roman" w:eastAsia="楷体_GB2312" w:cs="Times New Roman"/>
          <w:kern w:val="2"/>
          <w:sz w:val="34"/>
          <w:szCs w:val="34"/>
          <w:highlight w:val="none"/>
          <w:u w:val="none"/>
          <w:lang w:val="en-US" w:eastAsia="zh-CN" w:bidi="ar-SA"/>
        </w:rPr>
      </w:pPr>
      <w:r>
        <w:rPr>
          <w:rFonts w:hint="eastAsia" w:ascii="仿宋" w:hAnsi="仿宋" w:eastAsia="仿宋" w:cs="仿宋"/>
          <w:b/>
          <w:bCs/>
          <w:kern w:val="2"/>
          <w:sz w:val="34"/>
          <w:szCs w:val="34"/>
          <w:highlight w:val="none"/>
          <w:u w:val="none"/>
          <w:lang w:val="en-US" w:eastAsia="zh-CN" w:bidi="ar-SA"/>
        </w:rPr>
        <w:t>8.抓好规划设计。</w:t>
      </w:r>
      <w:r>
        <w:rPr>
          <w:rFonts w:hint="eastAsia" w:ascii="仿宋" w:hAnsi="仿宋" w:eastAsia="仿宋" w:cs="仿宋"/>
          <w:b w:val="0"/>
          <w:bCs w:val="0"/>
          <w:kern w:val="2"/>
          <w:sz w:val="34"/>
          <w:szCs w:val="34"/>
          <w:highlight w:val="none"/>
          <w:u w:val="none"/>
          <w:lang w:val="en-US" w:eastAsia="zh-CN" w:bidi="ar-SA"/>
        </w:rPr>
        <w:t>按照“</w:t>
      </w:r>
      <w:r>
        <w:rPr>
          <w:rFonts w:hint="eastAsia" w:ascii="仿宋" w:hAnsi="仿宋" w:eastAsia="仿宋" w:cs="仿宋"/>
          <w:kern w:val="2"/>
          <w:sz w:val="34"/>
          <w:szCs w:val="34"/>
          <w:highlight w:val="none"/>
          <w:u w:val="none"/>
          <w:lang w:val="en-US" w:eastAsia="zh-CN" w:bidi="ar-SA"/>
        </w:rPr>
        <w:t>国际化、智能化、智慧化”目标要求，以</w:t>
      </w:r>
      <w:r>
        <w:rPr>
          <w:rFonts w:hint="eastAsia" w:ascii="仿宋" w:hAnsi="仿宋" w:eastAsia="仿宋" w:cs="仿宋"/>
          <w:b w:val="0"/>
          <w:bCs w:val="0"/>
          <w:kern w:val="2"/>
          <w:sz w:val="34"/>
          <w:szCs w:val="34"/>
          <w:highlight w:val="none"/>
          <w:u w:val="none"/>
          <w:lang w:val="en-US" w:eastAsia="zh-CN" w:bidi="ar-SA"/>
        </w:rPr>
        <w:t>洮北经济开发区为依托，整合白城工业园区化工园区，结合</w:t>
      </w:r>
      <w:r>
        <w:rPr>
          <w:rFonts w:hint="eastAsia" w:ascii="仿宋" w:hAnsi="仿宋" w:eastAsia="仿宋" w:cs="仿宋"/>
          <w:kern w:val="2"/>
          <w:sz w:val="34"/>
          <w:szCs w:val="34"/>
          <w:highlight w:val="none"/>
          <w:u w:val="none"/>
          <w:lang w:val="en-US" w:eastAsia="zh-CN" w:bidi="ar-SA"/>
        </w:rPr>
        <w:t>国土空间总体规划，编制已确定的</w:t>
      </w:r>
      <w:r>
        <w:rPr>
          <w:rFonts w:hint="eastAsia" w:ascii="仿宋" w:hAnsi="仿宋" w:eastAsia="仿宋" w:cs="仿宋"/>
          <w:b w:val="0"/>
          <w:bCs w:val="0"/>
          <w:kern w:val="2"/>
          <w:sz w:val="34"/>
          <w:szCs w:val="34"/>
          <w:highlight w:val="none"/>
          <w:u w:val="none"/>
          <w:lang w:val="en-US" w:eastAsia="zh-CN" w:bidi="ar-SA"/>
        </w:rPr>
        <w:t>50平方公里范围</w:t>
      </w:r>
      <w:r>
        <w:rPr>
          <w:rFonts w:hint="eastAsia" w:ascii="仿宋" w:hAnsi="仿宋" w:eastAsia="仿宋" w:cs="仿宋"/>
          <w:kern w:val="2"/>
          <w:sz w:val="34"/>
          <w:szCs w:val="34"/>
          <w:highlight w:val="none"/>
          <w:u w:val="none"/>
          <w:lang w:val="en-US" w:eastAsia="zh-CN" w:bidi="ar-SA"/>
        </w:rPr>
        <w:t>园区发展总体规划以及各产业园的控制性详细规划，同步开展园区总体规划环境影响评价工作。突出自身优势和园区特点，做到一次规划、适度超前、分步实施、有序开发。同时，科学确定各专业板块的产业布局，为符合入园条件的企业留足发展空间。</w:t>
      </w:r>
      <w:r>
        <w:rPr>
          <w:rFonts w:hint="default" w:ascii="Times New Roman" w:hAnsi="Times New Roman" w:eastAsia="楷体_GB2312" w:cs="Times New Roman"/>
          <w:kern w:val="2"/>
          <w:sz w:val="34"/>
          <w:szCs w:val="34"/>
          <w:highlight w:val="none"/>
          <w:u w:val="none"/>
          <w:lang w:val="en-US" w:eastAsia="zh-CN" w:bidi="ar-SA"/>
        </w:rPr>
        <w:t>（牵头单位：洮北区，配合单位：市发改委</w:t>
      </w:r>
      <w:r>
        <w:rPr>
          <w:rFonts w:hint="eastAsia" w:eastAsia="楷体_GB2312" w:cs="Times New Roman"/>
          <w:kern w:val="2"/>
          <w:sz w:val="34"/>
          <w:szCs w:val="34"/>
          <w:highlight w:val="none"/>
          <w:u w:val="none"/>
          <w:lang w:val="en-US" w:eastAsia="zh-CN" w:bidi="ar-SA"/>
        </w:rPr>
        <w:t>、</w:t>
      </w:r>
      <w:r>
        <w:rPr>
          <w:rFonts w:hint="default" w:ascii="Times New Roman" w:hAnsi="Times New Roman" w:eastAsia="楷体_GB2312" w:cs="Times New Roman"/>
          <w:kern w:val="2"/>
          <w:sz w:val="34"/>
          <w:szCs w:val="34"/>
          <w:highlight w:val="none"/>
          <w:u w:val="none"/>
          <w:lang w:val="en-US" w:eastAsia="zh-CN" w:bidi="ar-SA"/>
        </w:rPr>
        <w:t>市自然资源局、市住建局、市生态环境局、市交通局、市能源局、白城工业园区）</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firstLine="680" w:firstLineChars="200"/>
        <w:textAlignment w:val="auto"/>
        <w:rPr>
          <w:rFonts w:hint="default" w:ascii="Times New Roman" w:hAnsi="Times New Roman" w:eastAsia="楷体_GB2312" w:cs="Times New Roman"/>
          <w:kern w:val="2"/>
          <w:sz w:val="34"/>
          <w:szCs w:val="34"/>
          <w:highlight w:val="none"/>
          <w:u w:val="none"/>
          <w:lang w:val="en-US" w:eastAsia="zh-CN" w:bidi="ar-SA"/>
        </w:rPr>
      </w:pPr>
      <w:r>
        <w:rPr>
          <w:rFonts w:hint="eastAsia" w:ascii="仿宋" w:hAnsi="仿宋" w:eastAsia="仿宋" w:cs="仿宋"/>
          <w:b/>
          <w:bCs/>
          <w:kern w:val="2"/>
          <w:sz w:val="34"/>
          <w:szCs w:val="34"/>
          <w:highlight w:val="none"/>
          <w:u w:val="none"/>
          <w:lang w:val="en-US" w:eastAsia="zh-CN" w:bidi="ar-SA"/>
        </w:rPr>
        <w:t>9.抓好基础设施建设。</w:t>
      </w:r>
      <w:r>
        <w:rPr>
          <w:rFonts w:hint="eastAsia" w:ascii="仿宋" w:hAnsi="仿宋" w:eastAsia="仿宋" w:cs="仿宋"/>
          <w:kern w:val="2"/>
          <w:sz w:val="34"/>
          <w:szCs w:val="34"/>
          <w:highlight w:val="none"/>
          <w:u w:val="none"/>
          <w:lang w:val="en-US" w:eastAsia="zh-CN" w:bidi="ar-SA"/>
        </w:rPr>
        <w:t>研究制定园区给排水、供汽（气）、铁路专用线及物流运输等公用工程配套解决方案。创新工作方法，广开融资渠道，全力以赴抓好水、电、路、气、讯、暖等“九通一平”基础设施建设，为项目建设创造条件，确保企业落得下、留得住。积极向上争取园区建设和产业发展扶持资金，合理确定财政分成机制，园区建设初期，企业缴税省级以下共享部分全部用于支持园区基础设施建设。</w:t>
      </w:r>
      <w:r>
        <w:rPr>
          <w:rFonts w:hint="default" w:ascii="Times New Roman" w:hAnsi="Times New Roman" w:eastAsia="楷体_GB2312" w:cs="Times New Roman"/>
          <w:kern w:val="2"/>
          <w:sz w:val="34"/>
          <w:szCs w:val="34"/>
          <w:highlight w:val="none"/>
          <w:u w:val="none"/>
          <w:lang w:val="en-US" w:eastAsia="zh-CN" w:bidi="ar-SA"/>
        </w:rPr>
        <w:t>（牵头单位：洮北区，配合单位：市发改委</w:t>
      </w:r>
      <w:r>
        <w:rPr>
          <w:rFonts w:hint="eastAsia" w:eastAsia="楷体_GB2312" w:cs="Times New Roman"/>
          <w:kern w:val="2"/>
          <w:sz w:val="34"/>
          <w:szCs w:val="34"/>
          <w:highlight w:val="none"/>
          <w:u w:val="none"/>
          <w:lang w:val="en-US" w:eastAsia="zh-CN" w:bidi="ar-SA"/>
        </w:rPr>
        <w:t>、市财政局、</w:t>
      </w:r>
      <w:r>
        <w:rPr>
          <w:rFonts w:hint="default" w:ascii="Times New Roman" w:hAnsi="Times New Roman" w:eastAsia="楷体_GB2312" w:cs="Times New Roman"/>
          <w:kern w:val="2"/>
          <w:sz w:val="34"/>
          <w:szCs w:val="34"/>
          <w:highlight w:val="none"/>
          <w:u w:val="none"/>
          <w:lang w:val="en-US" w:eastAsia="zh-CN" w:bidi="ar-SA"/>
        </w:rPr>
        <w:t>市工信局、市住建局、市水利局、市能源局、市政数局、市交通局、白城工业园区）</w:t>
      </w:r>
    </w:p>
    <w:p>
      <w:pPr>
        <w:pStyle w:val="16"/>
        <w:keepNext w:val="0"/>
        <w:keepLines w:val="0"/>
        <w:pageBreakBefore w:val="0"/>
        <w:widowControl w:val="0"/>
        <w:kinsoku/>
        <w:wordWrap/>
        <w:overflowPunct/>
        <w:topLinePunct w:val="0"/>
        <w:autoSpaceDE/>
        <w:autoSpaceDN/>
        <w:bidi w:val="0"/>
        <w:adjustRightInd/>
        <w:snapToGrid/>
        <w:spacing w:beforeAutospacing="0" w:after="0" w:afterLines="0" w:afterAutospacing="0" w:line="580" w:lineRule="exact"/>
        <w:ind w:left="0" w:leftChars="0"/>
        <w:textAlignment w:val="auto"/>
        <w:rPr>
          <w:rFonts w:hint="default" w:ascii="Times New Roman" w:hAnsi="Times New Roman" w:eastAsia="仿宋_GB2312" w:cs="Times New Roman"/>
          <w:b/>
          <w:bCs/>
          <w:kern w:val="2"/>
          <w:sz w:val="34"/>
          <w:szCs w:val="34"/>
          <w:highlight w:val="none"/>
          <w:u w:val="none"/>
          <w:lang w:val="en-US" w:eastAsia="zh-CN" w:bidi="ar-SA"/>
        </w:rPr>
      </w:pPr>
      <w:r>
        <w:rPr>
          <w:rFonts w:hint="eastAsia" w:ascii="仿宋" w:hAnsi="仿宋" w:eastAsia="仿宋" w:cs="仿宋"/>
          <w:b/>
          <w:bCs/>
          <w:kern w:val="2"/>
          <w:sz w:val="34"/>
          <w:szCs w:val="34"/>
          <w:highlight w:val="none"/>
          <w:u w:val="none"/>
          <w:lang w:val="en-US" w:eastAsia="zh-CN" w:bidi="ar-SA"/>
        </w:rPr>
        <w:t>10.加强园区管理。</w:t>
      </w:r>
      <w:r>
        <w:rPr>
          <w:rFonts w:hint="eastAsia" w:ascii="仿宋" w:hAnsi="仿宋" w:eastAsia="仿宋" w:cs="仿宋"/>
          <w:b w:val="0"/>
          <w:bCs w:val="0"/>
          <w:kern w:val="2"/>
          <w:sz w:val="34"/>
          <w:szCs w:val="34"/>
          <w:highlight w:val="none"/>
          <w:u w:val="none"/>
          <w:lang w:val="en-US" w:eastAsia="zh-CN" w:bidi="ar-SA"/>
        </w:rPr>
        <w:t>配齐配强各类管理人才</w:t>
      </w:r>
      <w:r>
        <w:rPr>
          <w:rFonts w:hint="eastAsia" w:ascii="仿宋" w:hAnsi="仿宋" w:eastAsia="仿宋" w:cs="仿宋"/>
          <w:kern w:val="2"/>
          <w:sz w:val="34"/>
          <w:szCs w:val="34"/>
          <w:highlight w:val="none"/>
          <w:u w:val="none"/>
          <w:lang w:val="en-US" w:eastAsia="zh-CN" w:bidi="ar-SA"/>
        </w:rPr>
        <w:t>，组建管理团队，</w:t>
      </w:r>
      <w:r>
        <w:rPr>
          <w:rFonts w:hint="eastAsia" w:ascii="仿宋" w:hAnsi="仿宋" w:eastAsia="仿宋" w:cs="仿宋"/>
          <w:kern w:val="2"/>
          <w:sz w:val="34"/>
          <w:szCs w:val="34"/>
          <w:highlight w:val="none"/>
          <w:u w:val="none"/>
          <w:lang w:val="en" w:eastAsia="zh-CN" w:bidi="ar-SA"/>
        </w:rPr>
        <w:t>建立</w:t>
      </w:r>
      <w:r>
        <w:rPr>
          <w:rFonts w:hint="eastAsia" w:ascii="仿宋" w:hAnsi="仿宋" w:eastAsia="仿宋" w:cs="仿宋"/>
          <w:kern w:val="2"/>
          <w:sz w:val="34"/>
          <w:szCs w:val="34"/>
          <w:highlight w:val="none"/>
          <w:u w:val="none"/>
          <w:lang w:val="en-US" w:eastAsia="zh-CN" w:bidi="ar-SA"/>
        </w:rPr>
        <w:t>高效的工作</w:t>
      </w:r>
      <w:r>
        <w:rPr>
          <w:rFonts w:hint="eastAsia" w:ascii="仿宋" w:hAnsi="仿宋" w:eastAsia="仿宋" w:cs="仿宋"/>
          <w:kern w:val="2"/>
          <w:sz w:val="34"/>
          <w:szCs w:val="34"/>
          <w:highlight w:val="none"/>
          <w:u w:val="none"/>
          <w:lang w:val="en" w:eastAsia="zh-CN" w:bidi="ar-SA"/>
        </w:rPr>
        <w:t>机制，</w:t>
      </w:r>
      <w:r>
        <w:rPr>
          <w:rFonts w:hint="eastAsia" w:ascii="仿宋" w:hAnsi="仿宋" w:eastAsia="仿宋" w:cs="仿宋"/>
          <w:kern w:val="2"/>
          <w:sz w:val="34"/>
          <w:szCs w:val="34"/>
          <w:highlight w:val="none"/>
          <w:u w:val="none"/>
          <w:lang w:val="en-US" w:eastAsia="zh-CN" w:bidi="ar-SA"/>
        </w:rPr>
        <w:t>围绕入园企业和项目前期落户、开工建设、投产运营全过程，</w:t>
      </w:r>
      <w:r>
        <w:rPr>
          <w:rFonts w:hint="eastAsia" w:ascii="仿宋" w:hAnsi="仿宋" w:eastAsia="仿宋" w:cs="仿宋"/>
          <w:kern w:val="2"/>
          <w:sz w:val="34"/>
          <w:szCs w:val="34"/>
          <w:highlight w:val="none"/>
          <w:u w:val="none"/>
          <w:lang w:val="en" w:eastAsia="zh-CN" w:bidi="ar-SA"/>
        </w:rPr>
        <w:t>不断优化管理和服务水平，</w:t>
      </w:r>
      <w:r>
        <w:rPr>
          <w:rFonts w:hint="eastAsia" w:ascii="仿宋" w:hAnsi="仿宋" w:eastAsia="仿宋" w:cs="仿宋"/>
          <w:kern w:val="2"/>
          <w:sz w:val="34"/>
          <w:szCs w:val="34"/>
          <w:highlight w:val="none"/>
          <w:u w:val="none"/>
          <w:lang w:val="en-US" w:eastAsia="zh-CN" w:bidi="ar-SA"/>
        </w:rPr>
        <w:t>用规范高效的服务促进项目早落地、早开工、早投产。</w:t>
      </w:r>
      <w:r>
        <w:rPr>
          <w:rFonts w:hint="default" w:ascii="Times New Roman" w:hAnsi="Times New Roman" w:eastAsia="楷体_GB2312" w:cs="Times New Roman"/>
          <w:kern w:val="2"/>
          <w:sz w:val="34"/>
          <w:szCs w:val="34"/>
          <w:highlight w:val="none"/>
          <w:u w:val="none"/>
          <w:lang w:val="en-US" w:eastAsia="zh-CN" w:bidi="ar-SA"/>
        </w:rPr>
        <w:t>（牵头单位：</w:t>
      </w:r>
      <w:r>
        <w:rPr>
          <w:rFonts w:hint="eastAsia" w:eastAsia="楷体_GB2312" w:cs="Times New Roman"/>
          <w:kern w:val="2"/>
          <w:sz w:val="34"/>
          <w:szCs w:val="34"/>
          <w:highlight w:val="none"/>
          <w:u w:val="none"/>
          <w:lang w:val="en-US" w:eastAsia="zh-CN" w:bidi="ar-SA"/>
        </w:rPr>
        <w:t>洮北区</w:t>
      </w:r>
      <w:r>
        <w:rPr>
          <w:rFonts w:hint="default" w:ascii="Times New Roman" w:hAnsi="Times New Roman" w:eastAsia="楷体_GB2312" w:cs="Times New Roman"/>
          <w:kern w:val="2"/>
          <w:sz w:val="34"/>
          <w:szCs w:val="34"/>
          <w:highlight w:val="none"/>
          <w:u w:val="none"/>
          <w:lang w:val="en-US" w:eastAsia="zh-CN" w:bidi="ar-SA"/>
        </w:rPr>
        <w:t>）</w:t>
      </w:r>
    </w:p>
    <w:p>
      <w:pPr>
        <w:pStyle w:val="16"/>
        <w:keepNext w:val="0"/>
        <w:keepLines w:val="0"/>
        <w:pageBreakBefore w:val="0"/>
        <w:widowControl w:val="0"/>
        <w:kinsoku/>
        <w:wordWrap/>
        <w:overflowPunct/>
        <w:topLinePunct w:val="0"/>
        <w:autoSpaceDE/>
        <w:autoSpaceDN/>
        <w:bidi w:val="0"/>
        <w:adjustRightInd/>
        <w:snapToGrid/>
        <w:spacing w:beforeAutospacing="0" w:after="0" w:afterLines="0" w:afterAutospacing="0" w:line="580" w:lineRule="exact"/>
        <w:ind w:left="0" w:leftChars="0"/>
        <w:textAlignment w:val="auto"/>
        <w:rPr>
          <w:rFonts w:hint="default" w:eastAsia="楷体_GB2312" w:cs="Times New Roman"/>
          <w:sz w:val="34"/>
          <w:szCs w:val="34"/>
          <w:lang w:val="en-US" w:eastAsia="zh-CN"/>
        </w:rPr>
      </w:pPr>
      <w:r>
        <w:rPr>
          <w:rFonts w:hint="default" w:ascii="Times New Roman" w:hAnsi="Times New Roman" w:eastAsia="楷体_GB2312" w:cs="Times New Roman"/>
          <w:sz w:val="34"/>
          <w:szCs w:val="34"/>
          <w:lang w:val="en-US" w:eastAsia="zh-CN"/>
        </w:rPr>
        <w:t>（三）</w:t>
      </w:r>
      <w:r>
        <w:rPr>
          <w:rFonts w:hint="eastAsia" w:eastAsia="楷体_GB2312" w:cs="Times New Roman"/>
          <w:sz w:val="34"/>
          <w:szCs w:val="34"/>
          <w:lang w:val="en-US" w:eastAsia="zh-CN"/>
        </w:rPr>
        <w:t>加快园区营商环境打造</w:t>
      </w:r>
    </w:p>
    <w:p>
      <w:pPr>
        <w:pStyle w:val="16"/>
        <w:keepNext w:val="0"/>
        <w:keepLines w:val="0"/>
        <w:pageBreakBefore w:val="0"/>
        <w:widowControl w:val="0"/>
        <w:kinsoku/>
        <w:wordWrap/>
        <w:overflowPunct/>
        <w:topLinePunct w:val="0"/>
        <w:autoSpaceDE/>
        <w:autoSpaceDN/>
        <w:bidi w:val="0"/>
        <w:adjustRightInd/>
        <w:snapToGrid/>
        <w:spacing w:beforeAutospacing="0" w:after="0" w:afterLines="0" w:afterAutospacing="0" w:line="580" w:lineRule="exact"/>
        <w:ind w:left="0" w:leftChars="0"/>
        <w:textAlignment w:val="auto"/>
        <w:rPr>
          <w:rFonts w:hint="default" w:ascii="Times New Roman" w:hAnsi="Times New Roman" w:eastAsia="楷体_GB2312" w:cs="Times New Roman"/>
          <w:kern w:val="2"/>
          <w:sz w:val="34"/>
          <w:szCs w:val="34"/>
          <w:highlight w:val="none"/>
          <w:u w:val="none"/>
          <w:lang w:val="en-US" w:eastAsia="zh-CN" w:bidi="ar-SA"/>
        </w:rPr>
      </w:pPr>
      <w:r>
        <w:rPr>
          <w:rFonts w:hint="eastAsia" w:ascii="仿宋" w:hAnsi="仿宋" w:eastAsia="仿宋" w:cs="仿宋"/>
          <w:b/>
          <w:bCs/>
          <w:kern w:val="2"/>
          <w:sz w:val="34"/>
          <w:szCs w:val="34"/>
          <w:highlight w:val="none"/>
          <w:u w:val="none"/>
          <w:lang w:val="en-US" w:eastAsia="zh-CN" w:bidi="ar-SA"/>
        </w:rPr>
        <w:t>11.完善招商政策和入园条件。</w:t>
      </w:r>
      <w:r>
        <w:rPr>
          <w:rFonts w:hint="eastAsia" w:ascii="仿宋" w:hAnsi="仿宋" w:eastAsia="仿宋" w:cs="仿宋"/>
          <w:b w:val="0"/>
          <w:bCs w:val="0"/>
          <w:kern w:val="2"/>
          <w:sz w:val="34"/>
          <w:szCs w:val="34"/>
          <w:highlight w:val="none"/>
          <w:u w:val="none"/>
          <w:lang w:val="en-US" w:eastAsia="zh-CN" w:bidi="ar-SA"/>
        </w:rPr>
        <w:t>围绕园区的产业布局，以打造同行业最具竞争力为标准，借鉴外地成熟经验做法，健全完善园区招商引资优惠政策和入园条件，吸引高载能、高技术、高质量、高效益项目落户白城，完成由招商向选商的历史性转变，实现招商引资和项目建设的新突破。</w:t>
      </w:r>
      <w:r>
        <w:rPr>
          <w:rFonts w:hint="default" w:ascii="Times New Roman" w:hAnsi="Times New Roman" w:eastAsia="楷体_GB2312" w:cs="Times New Roman"/>
          <w:kern w:val="2"/>
          <w:sz w:val="34"/>
          <w:szCs w:val="34"/>
          <w:highlight w:val="none"/>
          <w:u w:val="none"/>
          <w:lang w:val="en-US" w:eastAsia="zh-CN" w:bidi="ar-SA"/>
        </w:rPr>
        <w:t>（牵头单位：市商务局，配合单位：市工信局、市能源局、洮北区、白城工业园区）</w:t>
      </w:r>
    </w:p>
    <w:p>
      <w:pPr>
        <w:pStyle w:val="16"/>
        <w:keepNext w:val="0"/>
        <w:keepLines w:val="0"/>
        <w:pageBreakBefore w:val="0"/>
        <w:widowControl w:val="0"/>
        <w:kinsoku/>
        <w:wordWrap/>
        <w:overflowPunct/>
        <w:topLinePunct w:val="0"/>
        <w:autoSpaceDE/>
        <w:autoSpaceDN/>
        <w:bidi w:val="0"/>
        <w:adjustRightInd/>
        <w:snapToGrid/>
        <w:spacing w:beforeAutospacing="0" w:after="0" w:afterLines="0" w:afterAutospacing="0" w:line="580" w:lineRule="exact"/>
        <w:ind w:left="0" w:leftChars="0"/>
        <w:textAlignment w:val="auto"/>
        <w:rPr>
          <w:rFonts w:hint="default" w:ascii="Times New Roman" w:hAnsi="Times New Roman" w:eastAsia="楷体_GB2312" w:cs="Times New Roman"/>
          <w:kern w:val="2"/>
          <w:sz w:val="34"/>
          <w:szCs w:val="34"/>
          <w:highlight w:val="none"/>
          <w:u w:val="none"/>
          <w:lang w:val="en-US" w:eastAsia="zh-CN" w:bidi="ar-SA"/>
        </w:rPr>
      </w:pPr>
      <w:r>
        <w:rPr>
          <w:rFonts w:hint="eastAsia" w:ascii="仿宋" w:hAnsi="仿宋" w:eastAsia="仿宋" w:cs="仿宋"/>
          <w:b/>
          <w:bCs/>
          <w:kern w:val="2"/>
          <w:sz w:val="34"/>
          <w:szCs w:val="34"/>
          <w:highlight w:val="none"/>
          <w:u w:val="none"/>
          <w:lang w:val="en-US" w:eastAsia="zh-CN" w:bidi="ar-SA"/>
        </w:rPr>
        <w:t>12.大力宣传推介。</w:t>
      </w:r>
      <w:r>
        <w:rPr>
          <w:rFonts w:hint="eastAsia" w:ascii="仿宋" w:hAnsi="仿宋" w:eastAsia="仿宋" w:cs="仿宋"/>
          <w:b w:val="0"/>
          <w:bCs w:val="0"/>
          <w:kern w:val="2"/>
          <w:sz w:val="34"/>
          <w:szCs w:val="34"/>
          <w:highlight w:val="none"/>
          <w:u w:val="none"/>
          <w:lang w:val="en-US" w:eastAsia="zh-CN" w:bidi="ar-SA"/>
        </w:rPr>
        <w:t>对园区的谋划背景、战略定位、发展目标、核心内容、创新优势进行策划包装，形成一整套立体化的宣传推介材料，筹备召开各类新闻发布会、招商推介会，全方位宣传推介园区，扩大影响，吸引客户，尽快形成优势产业集聚的发展高地。</w:t>
      </w:r>
      <w:r>
        <w:rPr>
          <w:rFonts w:hint="default" w:ascii="Times New Roman" w:hAnsi="Times New Roman" w:eastAsia="楷体_GB2312" w:cs="Times New Roman"/>
          <w:kern w:val="2"/>
          <w:sz w:val="34"/>
          <w:szCs w:val="34"/>
          <w:highlight w:val="none"/>
          <w:u w:val="none"/>
          <w:lang w:val="en-US" w:eastAsia="zh-CN" w:bidi="ar-SA"/>
        </w:rPr>
        <w:t>（牵头单位：市委宣传部，配合单位：市商务局、市工信局、市能源局、洮北区、白城工业园区）</w:t>
      </w:r>
    </w:p>
    <w:p>
      <w:pPr>
        <w:pStyle w:val="16"/>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80" w:firstLineChars="0"/>
        <w:textAlignment w:val="auto"/>
        <w:rPr>
          <w:rFonts w:hint="default" w:ascii="Times New Roman" w:hAnsi="Times New Roman" w:eastAsia="楷体_GB2312" w:cs="Times New Roman"/>
          <w:kern w:val="2"/>
          <w:sz w:val="34"/>
          <w:szCs w:val="34"/>
          <w:highlight w:val="none"/>
          <w:u w:val="none"/>
          <w:lang w:val="en-US" w:eastAsia="zh-CN" w:bidi="ar-SA"/>
        </w:rPr>
      </w:pPr>
      <w:r>
        <w:rPr>
          <w:rFonts w:hint="eastAsia" w:ascii="仿宋" w:hAnsi="仿宋" w:eastAsia="仿宋" w:cs="仿宋"/>
          <w:b/>
          <w:bCs/>
          <w:kern w:val="2"/>
          <w:sz w:val="34"/>
          <w:szCs w:val="34"/>
          <w:highlight w:val="none"/>
          <w:u w:val="none"/>
          <w:lang w:val="en-US" w:eastAsia="zh-CN" w:bidi="ar-SA"/>
        </w:rPr>
        <w:t>13.掀起招商热潮。</w:t>
      </w:r>
      <w:r>
        <w:rPr>
          <w:rFonts w:hint="eastAsia" w:ascii="仿宋" w:hAnsi="仿宋" w:eastAsia="仿宋" w:cs="仿宋"/>
          <w:b w:val="0"/>
          <w:bCs w:val="0"/>
          <w:kern w:val="2"/>
          <w:sz w:val="34"/>
          <w:szCs w:val="34"/>
          <w:highlight w:val="none"/>
          <w:u w:val="none"/>
          <w:lang w:val="en-US" w:eastAsia="zh-CN" w:bidi="ar-SA"/>
        </w:rPr>
        <w:t>全市各职能部门要以绿电园区为重点，探索创新招商引资方式，</w:t>
      </w:r>
      <w:r>
        <w:rPr>
          <w:rFonts w:hint="eastAsia" w:ascii="仿宋" w:hAnsi="仿宋" w:eastAsia="仿宋" w:cs="仿宋"/>
          <w:kern w:val="2"/>
          <w:sz w:val="34"/>
          <w:szCs w:val="34"/>
          <w:highlight w:val="none"/>
          <w:u w:val="none"/>
          <w:lang w:val="en-US" w:eastAsia="zh-CN" w:bidi="ar-SA"/>
        </w:rPr>
        <w:t>健全完善项目招引洽谈机制，围绕清洁能源消纳，开展产业链招商、以商招商、园区招商、活动招商、中介招商活动，把全市招商引资活动推向一个全新的发展阶段，当前重点抓好碳纤维、铁合金、制氢、大数据等在谈项目推进工作，实现园区招商开门红。（</w:t>
      </w:r>
      <w:r>
        <w:rPr>
          <w:rFonts w:hint="default" w:ascii="Times New Roman" w:hAnsi="Times New Roman" w:eastAsia="楷体_GB2312" w:cs="Times New Roman"/>
          <w:kern w:val="2"/>
          <w:sz w:val="34"/>
          <w:szCs w:val="34"/>
          <w:highlight w:val="none"/>
          <w:u w:val="none"/>
          <w:lang w:val="en-US" w:eastAsia="zh-CN" w:bidi="ar-SA"/>
        </w:rPr>
        <w:t>牵头单位：洮北区，配合单位：</w:t>
      </w:r>
      <w:r>
        <w:rPr>
          <w:rFonts w:hint="eastAsia" w:ascii="Times New Roman" w:hAnsi="Times New Roman" w:eastAsia="楷体_GB2312" w:cs="Times New Roman"/>
          <w:kern w:val="2"/>
          <w:sz w:val="34"/>
          <w:szCs w:val="34"/>
          <w:highlight w:val="none"/>
          <w:u w:val="none"/>
          <w:lang w:val="en-US" w:eastAsia="zh-CN" w:bidi="ar-SA"/>
        </w:rPr>
        <w:t>市直部门</w:t>
      </w:r>
      <w:r>
        <w:rPr>
          <w:rFonts w:hint="default" w:ascii="Times New Roman" w:hAnsi="Times New Roman" w:eastAsia="楷体_GB2312" w:cs="Times New Roman"/>
          <w:kern w:val="2"/>
          <w:sz w:val="34"/>
          <w:szCs w:val="34"/>
          <w:highlight w:val="none"/>
          <w:u w:val="none"/>
          <w:lang w:val="en-US" w:eastAsia="zh-CN" w:bidi="ar-SA"/>
        </w:rPr>
        <w:t>、</w:t>
      </w:r>
      <w:r>
        <w:rPr>
          <w:rFonts w:hint="eastAsia" w:ascii="Times New Roman" w:hAnsi="Times New Roman" w:eastAsia="楷体_GB2312" w:cs="Times New Roman"/>
          <w:kern w:val="2"/>
          <w:sz w:val="34"/>
          <w:szCs w:val="34"/>
          <w:highlight w:val="none"/>
          <w:u w:val="none"/>
          <w:lang w:val="en-US" w:eastAsia="zh-CN" w:bidi="ar-SA"/>
        </w:rPr>
        <w:t>白城工业园区</w:t>
      </w:r>
      <w:r>
        <w:rPr>
          <w:rFonts w:hint="default" w:ascii="Times New Roman" w:hAnsi="Times New Roman" w:eastAsia="楷体_GB2312" w:cs="Times New Roman"/>
          <w:kern w:val="2"/>
          <w:sz w:val="34"/>
          <w:szCs w:val="34"/>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firstLine="680" w:firstLineChars="200"/>
        <w:textAlignment w:val="auto"/>
        <w:rPr>
          <w:rFonts w:hint="default" w:ascii="Times New Roman" w:hAnsi="Times New Roman" w:eastAsia="楷体_GB2312" w:cs="Times New Roman"/>
          <w:kern w:val="2"/>
          <w:sz w:val="34"/>
          <w:szCs w:val="34"/>
          <w:highlight w:val="none"/>
          <w:u w:val="none"/>
          <w:lang w:val="en-US" w:eastAsia="zh-CN" w:bidi="ar-SA"/>
        </w:rPr>
      </w:pPr>
      <w:r>
        <w:rPr>
          <w:rFonts w:hint="eastAsia" w:ascii="仿宋" w:hAnsi="仿宋" w:eastAsia="仿宋" w:cs="仿宋"/>
          <w:b/>
          <w:bCs/>
          <w:kern w:val="2"/>
          <w:sz w:val="34"/>
          <w:szCs w:val="34"/>
          <w:highlight w:val="none"/>
          <w:u w:val="none"/>
          <w:lang w:val="en-US" w:eastAsia="zh-CN" w:bidi="ar-SA"/>
        </w:rPr>
        <w:t>14.破解项目建设关键要素。</w:t>
      </w:r>
      <w:r>
        <w:rPr>
          <w:rFonts w:hint="eastAsia" w:ascii="仿宋" w:hAnsi="仿宋" w:eastAsia="仿宋" w:cs="仿宋"/>
          <w:b w:val="0"/>
          <w:bCs w:val="0"/>
          <w:kern w:val="2"/>
          <w:sz w:val="34"/>
          <w:szCs w:val="34"/>
          <w:highlight w:val="none"/>
          <w:u w:val="none"/>
          <w:lang w:val="en-US" w:eastAsia="zh-CN" w:bidi="ar-SA"/>
        </w:rPr>
        <w:t>集中力量破解</w:t>
      </w:r>
      <w:r>
        <w:rPr>
          <w:rFonts w:hint="eastAsia" w:ascii="仿宋" w:hAnsi="仿宋" w:eastAsia="仿宋" w:cs="仿宋"/>
          <w:kern w:val="2"/>
          <w:sz w:val="34"/>
          <w:szCs w:val="34"/>
          <w:highlight w:val="none"/>
          <w:u w:val="none"/>
          <w:lang w:val="en-US" w:eastAsia="zh-CN" w:bidi="ar-SA"/>
        </w:rPr>
        <w:t>园区建设中涉及到的土地征收、节能减排、产能置换、环境影响、安全评价、稳定评估等负荷端项目建设的重大约束条件，要合力做好预案、超前谋划，加强与国家、省相关部门沟通联系，聘请专家团队，结合实际逐一破解，确保项目引得进、落得下。</w:t>
      </w:r>
      <w:r>
        <w:rPr>
          <w:rFonts w:hint="default" w:ascii="Times New Roman" w:hAnsi="Times New Roman" w:eastAsia="楷体_GB2312" w:cs="Times New Roman"/>
          <w:kern w:val="2"/>
          <w:sz w:val="34"/>
          <w:szCs w:val="34"/>
          <w:highlight w:val="none"/>
          <w:u w:val="none"/>
          <w:lang w:val="en-US" w:eastAsia="zh-CN" w:bidi="ar-SA"/>
        </w:rPr>
        <w:t>（牵头单位：市发改委，配合单位：市自然资源局、市能源局、市工信局、市生态环境局、市应急局、洮北区、白城工业园区）</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firstLine="680" w:firstLineChars="200"/>
        <w:textAlignment w:val="auto"/>
        <w:rPr>
          <w:rFonts w:hint="default" w:ascii="Times New Roman" w:hAnsi="Times New Roman" w:eastAsia="楷体_GB2312" w:cs="Times New Roman"/>
          <w:kern w:val="2"/>
          <w:sz w:val="34"/>
          <w:szCs w:val="34"/>
          <w:highlight w:val="none"/>
          <w:u w:val="none"/>
          <w:lang w:val="en-US" w:eastAsia="zh-CN" w:bidi="ar-SA"/>
        </w:rPr>
      </w:pPr>
      <w:r>
        <w:rPr>
          <w:rFonts w:hint="eastAsia" w:ascii="仿宋" w:hAnsi="仿宋" w:eastAsia="仿宋" w:cs="仿宋"/>
          <w:b/>
          <w:bCs/>
          <w:kern w:val="2"/>
          <w:sz w:val="34"/>
          <w:szCs w:val="34"/>
          <w:highlight w:val="none"/>
          <w:u w:val="none"/>
          <w:lang w:val="en-US" w:eastAsia="zh-CN" w:bidi="ar-SA"/>
        </w:rPr>
        <w:t>15.优化营商环境。</w:t>
      </w:r>
      <w:r>
        <w:rPr>
          <w:rFonts w:hint="eastAsia" w:ascii="仿宋" w:hAnsi="仿宋" w:eastAsia="仿宋" w:cs="仿宋"/>
          <w:kern w:val="2"/>
          <w:sz w:val="34"/>
          <w:szCs w:val="34"/>
          <w:highlight w:val="none"/>
          <w:u w:val="none"/>
          <w:lang w:val="en-US" w:eastAsia="zh-CN" w:bidi="ar-SA"/>
        </w:rPr>
        <w:t>立足发挥园区的环境示范效应，落实入园项目全程领代办制度。对于涉园各项审批工作，相关职能部门要开辟“绿色通道”，按照“法无禁止则为准”原则，优先办理。各行政审批、项目服务、执纪执法部门要树立服务意识，大力优化市场、信誉和法制环境。在全市范围内引导树立“园区建设发展人人都是营商环境”思想理念，以“红线”意识擦亮环境“名片”。</w:t>
      </w:r>
      <w:r>
        <w:rPr>
          <w:rFonts w:hint="default" w:ascii="Times New Roman" w:hAnsi="Times New Roman" w:eastAsia="楷体_GB2312" w:cs="Times New Roman"/>
          <w:kern w:val="2"/>
          <w:sz w:val="34"/>
          <w:szCs w:val="34"/>
          <w:highlight w:val="none"/>
          <w:u w:val="none"/>
          <w:lang w:val="en-US" w:eastAsia="zh-CN" w:bidi="ar-SA"/>
        </w:rPr>
        <w:t>（牵头单位：市政数局，配合单位：市法院、市检察院、市发改委、市公安局、市司法局、市应急局、市工信局、市生态环境局、市交通局、</w:t>
      </w:r>
      <w:r>
        <w:rPr>
          <w:rFonts w:hint="eastAsia" w:eastAsia="楷体_GB2312" w:cs="Times New Roman"/>
          <w:kern w:val="2"/>
          <w:sz w:val="34"/>
          <w:szCs w:val="34"/>
          <w:highlight w:val="none"/>
          <w:u w:val="none"/>
          <w:lang w:val="en-US" w:eastAsia="zh-CN" w:bidi="ar-SA"/>
        </w:rPr>
        <w:t>市水利局、</w:t>
      </w:r>
      <w:r>
        <w:rPr>
          <w:rFonts w:hint="default" w:ascii="Times New Roman" w:hAnsi="Times New Roman" w:eastAsia="楷体_GB2312" w:cs="Times New Roman"/>
          <w:kern w:val="2"/>
          <w:sz w:val="34"/>
          <w:szCs w:val="34"/>
          <w:highlight w:val="none"/>
          <w:u w:val="none"/>
          <w:lang w:val="en-US" w:eastAsia="zh-CN" w:bidi="ar-SA"/>
        </w:rPr>
        <w:t>市自然资源局、市市监局、洮北区、白城工业园区）</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firstLine="680" w:firstLineChars="200"/>
        <w:textAlignment w:val="auto"/>
        <w:rPr>
          <w:rFonts w:hint="eastAsia" w:ascii="Times New Roman" w:hAnsi="Times New Roman" w:eastAsia="楷体_GB2312" w:cs="Times New Roman"/>
          <w:kern w:val="2"/>
          <w:sz w:val="34"/>
          <w:szCs w:val="34"/>
          <w:highlight w:val="none"/>
          <w:u w:val="none"/>
          <w:lang w:val="en-US" w:eastAsia="zh-CN" w:bidi="ar-SA"/>
        </w:rPr>
      </w:pPr>
      <w:r>
        <w:rPr>
          <w:rFonts w:hint="default" w:ascii="Times New Roman" w:hAnsi="Times New Roman" w:eastAsia="楷体_GB2312" w:cs="Times New Roman"/>
          <w:kern w:val="2"/>
          <w:sz w:val="34"/>
          <w:szCs w:val="34"/>
          <w:highlight w:val="none"/>
          <w:u w:val="none"/>
          <w:lang w:val="en-US" w:eastAsia="zh-CN" w:bidi="ar-SA"/>
        </w:rPr>
        <w:t>（四）</w:t>
      </w:r>
      <w:r>
        <w:rPr>
          <w:rFonts w:hint="eastAsia" w:ascii="Times New Roman" w:hAnsi="Times New Roman" w:eastAsia="楷体_GB2312" w:cs="Times New Roman"/>
          <w:kern w:val="2"/>
          <w:sz w:val="34"/>
          <w:szCs w:val="34"/>
          <w:highlight w:val="none"/>
          <w:u w:val="none"/>
          <w:lang w:val="en-US" w:eastAsia="zh-CN" w:bidi="ar-SA"/>
        </w:rPr>
        <w:t>加快园区品牌形象提升</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firstLine="680" w:firstLineChars="200"/>
        <w:textAlignment w:val="auto"/>
        <w:rPr>
          <w:rFonts w:hint="default" w:ascii="Times New Roman" w:hAnsi="Times New Roman" w:eastAsia="仿宋_GB2312" w:cs="Times New Roman"/>
          <w:kern w:val="2"/>
          <w:sz w:val="34"/>
          <w:szCs w:val="34"/>
          <w:highlight w:val="none"/>
          <w:u w:val="none"/>
          <w:lang w:val="en-US" w:eastAsia="zh-CN" w:bidi="ar-SA"/>
        </w:rPr>
      </w:pPr>
      <w:r>
        <w:rPr>
          <w:rFonts w:hint="eastAsia" w:ascii="仿宋" w:hAnsi="仿宋" w:eastAsia="仿宋" w:cs="仿宋"/>
          <w:b/>
          <w:bCs/>
          <w:kern w:val="2"/>
          <w:sz w:val="34"/>
          <w:szCs w:val="34"/>
          <w:highlight w:val="none"/>
          <w:u w:val="none"/>
          <w:lang w:val="en-US" w:eastAsia="zh-CN" w:bidi="ar-SA"/>
        </w:rPr>
        <w:t>16.争取国家项目示范。</w:t>
      </w:r>
      <w:r>
        <w:rPr>
          <w:rFonts w:hint="eastAsia" w:ascii="仿宋" w:hAnsi="仿宋" w:eastAsia="仿宋" w:cs="仿宋"/>
          <w:kern w:val="2"/>
          <w:sz w:val="34"/>
          <w:szCs w:val="34"/>
          <w:highlight w:val="none"/>
          <w:u w:val="none"/>
          <w:lang w:val="en-US" w:eastAsia="zh-CN" w:bidi="ar-SA"/>
        </w:rPr>
        <w:t>积极与国家、省相关部门对接，抢抓战略机遇，争取国家、省对“绿电”“绿氢”“双碳”等方面的政策支持，力争将园区打造成省级和国家级“双碳”示范区、“源网荷储一体化”示范区。</w:t>
      </w:r>
      <w:r>
        <w:rPr>
          <w:rFonts w:hint="default" w:ascii="Times New Roman" w:hAnsi="Times New Roman" w:eastAsia="楷体_GB2312" w:cs="Times New Roman"/>
          <w:kern w:val="2"/>
          <w:sz w:val="34"/>
          <w:szCs w:val="34"/>
          <w:highlight w:val="none"/>
          <w:u w:val="none"/>
          <w:lang w:val="en-US" w:eastAsia="zh-CN" w:bidi="ar-SA"/>
        </w:rPr>
        <w:t>（牵头单位：市能源局，配合单位：</w:t>
      </w:r>
      <w:r>
        <w:rPr>
          <w:rFonts w:hint="eastAsia" w:ascii="Times New Roman" w:hAnsi="Times New Roman" w:eastAsia="楷体_GB2312" w:cs="Times New Roman"/>
          <w:kern w:val="2"/>
          <w:sz w:val="34"/>
          <w:szCs w:val="34"/>
          <w:highlight w:val="none"/>
          <w:u w:val="none"/>
          <w:lang w:val="en-US" w:eastAsia="zh-CN" w:bidi="ar-SA"/>
        </w:rPr>
        <w:t>市发改委、</w:t>
      </w:r>
      <w:r>
        <w:rPr>
          <w:rFonts w:hint="default" w:ascii="Times New Roman" w:hAnsi="Times New Roman" w:eastAsia="楷体_GB2312" w:cs="Times New Roman"/>
          <w:kern w:val="2"/>
          <w:sz w:val="34"/>
          <w:szCs w:val="34"/>
          <w:highlight w:val="none"/>
          <w:u w:val="none"/>
          <w:lang w:val="en-US" w:eastAsia="zh-CN" w:bidi="ar-SA"/>
        </w:rPr>
        <w:t>洮北区</w:t>
      </w:r>
      <w:r>
        <w:rPr>
          <w:rFonts w:hint="eastAsia" w:ascii="Times New Roman" w:hAnsi="Times New Roman" w:eastAsia="楷体_GB2312" w:cs="Times New Roman"/>
          <w:kern w:val="2"/>
          <w:sz w:val="34"/>
          <w:szCs w:val="34"/>
          <w:highlight w:val="none"/>
          <w:u w:val="none"/>
          <w:lang w:val="en-US" w:eastAsia="zh-CN" w:bidi="ar-SA"/>
        </w:rPr>
        <w:t>、白城工业园区</w:t>
      </w:r>
      <w:r>
        <w:rPr>
          <w:rFonts w:hint="default" w:ascii="Times New Roman" w:hAnsi="Times New Roman" w:eastAsia="楷体_GB2312" w:cs="Times New Roman"/>
          <w:kern w:val="2"/>
          <w:sz w:val="34"/>
          <w:szCs w:val="34"/>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firstLine="680" w:firstLineChars="200"/>
        <w:textAlignment w:val="auto"/>
        <w:rPr>
          <w:rFonts w:hint="default" w:ascii="Times New Roman" w:hAnsi="Times New Roman" w:eastAsia="楷体_GB2312" w:cs="Times New Roman"/>
          <w:b/>
          <w:bCs/>
          <w:kern w:val="2"/>
          <w:sz w:val="34"/>
          <w:szCs w:val="34"/>
          <w:highlight w:val="none"/>
          <w:u w:val="none"/>
          <w:lang w:val="en-US" w:eastAsia="zh-CN" w:bidi="ar-SA"/>
        </w:rPr>
      </w:pPr>
      <w:r>
        <w:rPr>
          <w:rFonts w:hint="eastAsia" w:ascii="仿宋" w:hAnsi="仿宋" w:eastAsia="仿宋" w:cs="仿宋"/>
          <w:b/>
          <w:bCs/>
          <w:kern w:val="2"/>
          <w:sz w:val="34"/>
          <w:szCs w:val="34"/>
          <w:highlight w:val="none"/>
          <w:u w:val="none"/>
          <w:lang w:val="en-US" w:eastAsia="zh-CN" w:bidi="ar-SA"/>
        </w:rPr>
        <w:t>17.启动碳汇交易实践。</w:t>
      </w:r>
      <w:r>
        <w:rPr>
          <w:rFonts w:hint="eastAsia" w:ascii="仿宋" w:hAnsi="仿宋" w:eastAsia="仿宋" w:cs="仿宋"/>
          <w:b w:val="0"/>
          <w:bCs w:val="0"/>
          <w:kern w:val="2"/>
          <w:sz w:val="34"/>
          <w:szCs w:val="34"/>
          <w:highlight w:val="none"/>
          <w:u w:val="none"/>
          <w:lang w:val="en-US" w:eastAsia="zh-CN" w:bidi="ar-SA"/>
        </w:rPr>
        <w:t>做好编制规划，把园区作为全市发展低碳经济的试验区，并以此为突破，带动全市经济、环境质量双提升，力争把白城建设成为东北地区乃至东北亚地区的碳汇交易中心，跻身碳汇交易第一梯队，不断提升园区的影响力和园区企业的国际竞争力。</w:t>
      </w:r>
      <w:r>
        <w:rPr>
          <w:rFonts w:hint="default" w:ascii="Times New Roman" w:hAnsi="Times New Roman" w:eastAsia="楷体_GB2312" w:cs="Times New Roman"/>
          <w:kern w:val="2"/>
          <w:sz w:val="34"/>
          <w:szCs w:val="34"/>
          <w:highlight w:val="none"/>
          <w:u w:val="none"/>
          <w:lang w:val="en-US" w:eastAsia="zh-CN" w:bidi="ar-SA"/>
        </w:rPr>
        <w:t>（牵头单位：市能源局，配合单位：市发改委、市财政局、洮北区）</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Autospacing="0" w:after="0" w:afterLines="0" w:afterAutospacing="0" w:line="580" w:lineRule="exact"/>
        <w:ind w:left="0" w:leftChars="0" w:right="0" w:rightChars="0" w:firstLine="680" w:firstLineChars="200"/>
        <w:jc w:val="both"/>
        <w:textAlignment w:val="auto"/>
        <w:outlineLvl w:val="9"/>
        <w:rPr>
          <w:rFonts w:hint="default" w:ascii="Times New Roman" w:hAnsi="Times New Roman" w:eastAsia="黑体" w:cs="Times New Roman"/>
          <w:sz w:val="34"/>
          <w:szCs w:val="34"/>
          <w:lang w:val="en-US" w:eastAsia="zh-CN"/>
        </w:rPr>
      </w:pPr>
      <w:r>
        <w:rPr>
          <w:rFonts w:hint="default" w:ascii="Times New Roman" w:hAnsi="Times New Roman" w:eastAsia="黑体" w:cs="Times New Roman"/>
          <w:sz w:val="34"/>
          <w:szCs w:val="34"/>
          <w:lang w:val="en-US" w:eastAsia="zh-CN"/>
        </w:rPr>
        <w:t>三、保障措施</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Autospacing="0" w:after="0" w:afterLines="0" w:afterAutospacing="0" w:line="580" w:lineRule="exact"/>
        <w:ind w:left="0" w:leftChars="0" w:right="0" w:rightChars="0" w:firstLine="680" w:firstLineChars="200"/>
        <w:jc w:val="both"/>
        <w:textAlignment w:val="auto"/>
        <w:outlineLvl w:val="9"/>
        <w:rPr>
          <w:rFonts w:hint="eastAsia" w:ascii="仿宋" w:hAnsi="仿宋" w:eastAsia="仿宋" w:cs="仿宋"/>
          <w:kern w:val="2"/>
          <w:sz w:val="34"/>
          <w:szCs w:val="34"/>
          <w:highlight w:val="none"/>
          <w:u w:val="none"/>
          <w:lang w:val="en-US" w:eastAsia="zh-CN" w:bidi="ar-SA"/>
        </w:rPr>
      </w:pPr>
      <w:r>
        <w:rPr>
          <w:rFonts w:hint="eastAsia" w:ascii="仿宋" w:hAnsi="仿宋" w:eastAsia="仿宋" w:cs="仿宋"/>
          <w:b/>
          <w:bCs/>
          <w:kern w:val="2"/>
          <w:sz w:val="34"/>
          <w:szCs w:val="34"/>
          <w:highlight w:val="none"/>
          <w:u w:val="none"/>
          <w:lang w:val="en-US" w:eastAsia="zh-CN" w:bidi="ar-SA"/>
        </w:rPr>
        <w:t>18.强化组织领导。</w:t>
      </w:r>
      <w:r>
        <w:rPr>
          <w:rFonts w:hint="eastAsia" w:ascii="仿宋" w:hAnsi="仿宋" w:eastAsia="仿宋" w:cs="仿宋"/>
          <w:kern w:val="2"/>
          <w:sz w:val="34"/>
          <w:szCs w:val="34"/>
          <w:highlight w:val="none"/>
          <w:u w:val="none"/>
          <w:lang w:val="en-US" w:eastAsia="zh-CN" w:bidi="ar-SA"/>
        </w:rPr>
        <w:t>成立由市委、市政府主要领导任双组长，市政府副市长张天华、吴东文同志任副组长，市直相关部门为成员单位的白城绿电产业示范园区领导小组。市各相关部门要对照重点任务，制定具体实施方案，明确责任，列出清单，细化举措，保障园区建设快速推进。洮北区要切实担负起属地责任，健全完善领导体制和工作推进机制，切实抓好白城绿电产业示范园区建设。</w:t>
      </w:r>
      <w:r>
        <w:rPr>
          <w:rFonts w:hint="eastAsia" w:ascii="仿宋" w:hAnsi="仿宋" w:eastAsia="仿宋" w:cs="仿宋"/>
          <w:kern w:val="2"/>
          <w:sz w:val="34"/>
          <w:szCs w:val="34"/>
          <w:highlight w:val="none"/>
          <w:u w:val="none"/>
          <w:lang w:val="en-US" w:eastAsia="zh-CN" w:bidi="ar-SA"/>
        </w:rPr>
        <w:br w:type="textWrapping"/>
      </w:r>
      <w:r>
        <w:rPr>
          <w:rFonts w:hint="eastAsia" w:ascii="仿宋" w:hAnsi="仿宋" w:eastAsia="仿宋" w:cs="仿宋"/>
          <w:kern w:val="2"/>
          <w:sz w:val="34"/>
          <w:szCs w:val="34"/>
          <w:highlight w:val="none"/>
          <w:u w:val="none"/>
          <w:lang w:val="en-US" w:eastAsia="zh-CN" w:bidi="ar-SA"/>
        </w:rPr>
        <w:t xml:space="preserve">    </w:t>
      </w:r>
      <w:r>
        <w:rPr>
          <w:rFonts w:hint="eastAsia" w:ascii="仿宋" w:hAnsi="仿宋" w:eastAsia="仿宋" w:cs="仿宋"/>
          <w:b/>
          <w:bCs/>
          <w:kern w:val="2"/>
          <w:sz w:val="34"/>
          <w:szCs w:val="34"/>
          <w:highlight w:val="none"/>
          <w:u w:val="none"/>
          <w:lang w:val="en-US" w:eastAsia="zh-CN" w:bidi="ar-SA"/>
        </w:rPr>
        <w:t>19.强化政策支持。</w:t>
      </w:r>
      <w:r>
        <w:rPr>
          <w:rFonts w:hint="eastAsia" w:ascii="仿宋" w:hAnsi="仿宋" w:eastAsia="仿宋" w:cs="仿宋"/>
          <w:kern w:val="2"/>
          <w:sz w:val="34"/>
          <w:szCs w:val="34"/>
          <w:highlight w:val="none"/>
          <w:u w:val="none"/>
          <w:lang w:val="en-US" w:eastAsia="zh-CN" w:bidi="ar-SA"/>
        </w:rPr>
        <w:t>市各相关部门要制定促进白城绿电产业示范园区建设和发展的相关配套政策，在基础设施建设、新兴产业培育、重大项目布局等方面，加大对洮北区的支持力度；要深入研究政策走向，积极争取国家、省政策支持，加强政策系统集成，构建财政、金融、生态、科技等政策体系，形成政策叠加效应。</w:t>
      </w:r>
    </w:p>
    <w:p>
      <w:pPr>
        <w:pStyle w:val="16"/>
        <w:keepNext w:val="0"/>
        <w:keepLines w:val="0"/>
        <w:pageBreakBefore w:val="0"/>
        <w:widowControl w:val="0"/>
        <w:kinsoku/>
        <w:wordWrap/>
        <w:overflowPunct/>
        <w:topLinePunct w:val="0"/>
        <w:autoSpaceDE/>
        <w:autoSpaceDN/>
        <w:bidi w:val="0"/>
        <w:adjustRightInd/>
        <w:snapToGrid/>
        <w:spacing w:beforeAutospacing="0" w:after="0" w:afterLines="0" w:afterAutospacing="0" w:line="580" w:lineRule="exact"/>
        <w:ind w:left="0" w:leftChars="0" w:firstLine="680" w:firstLineChars="200"/>
        <w:textAlignment w:val="auto"/>
        <w:rPr>
          <w:rFonts w:hint="eastAsia" w:ascii="仿宋" w:hAnsi="仿宋" w:eastAsia="仿宋" w:cs="仿宋"/>
          <w:kern w:val="2"/>
          <w:sz w:val="34"/>
          <w:szCs w:val="34"/>
          <w:lang w:val="en-US" w:eastAsia="zh-CN" w:bidi="ar-SA"/>
        </w:rPr>
      </w:pPr>
      <w:r>
        <w:rPr>
          <w:rFonts w:hint="eastAsia" w:ascii="仿宋" w:hAnsi="仿宋" w:eastAsia="仿宋" w:cs="仿宋"/>
          <w:b/>
          <w:bCs/>
          <w:kern w:val="2"/>
          <w:sz w:val="34"/>
          <w:szCs w:val="34"/>
          <w:highlight w:val="none"/>
          <w:u w:val="none"/>
          <w:lang w:val="en-US" w:eastAsia="zh-CN" w:bidi="ar-SA"/>
        </w:rPr>
        <w:t>20.强化要素保障。</w:t>
      </w:r>
      <w:r>
        <w:rPr>
          <w:rFonts w:hint="eastAsia" w:ascii="仿宋" w:hAnsi="仿宋" w:eastAsia="仿宋" w:cs="仿宋"/>
          <w:kern w:val="2"/>
          <w:sz w:val="34"/>
          <w:szCs w:val="34"/>
          <w:lang w:val="en-US" w:eastAsia="zh-CN" w:bidi="ar-SA"/>
        </w:rPr>
        <w:t>市各相关部门要根据园区建设需要，及时落实用地指标和项目供地，做好园区耕地占补平衡工作；要根据园区发展需要，及时做好立项审批、财政支持、金融服务、环保评估、科技支撑、人才引进等支持保障工作；要抓好各县（市、区）风、光、生物质能源统筹调度和余缺互济，最大程度保障园区能源供应。各县（市、区）要密切协作，合力攻坚，将园区建设成为吉林西部生态经济高质量发展新引擎。</w:t>
      </w:r>
    </w:p>
    <w:p>
      <w:pPr>
        <w:pStyle w:val="16"/>
        <w:keepNext w:val="0"/>
        <w:keepLines w:val="0"/>
        <w:pageBreakBefore w:val="0"/>
        <w:widowControl w:val="0"/>
        <w:kinsoku/>
        <w:wordWrap/>
        <w:overflowPunct/>
        <w:topLinePunct w:val="0"/>
        <w:autoSpaceDE/>
        <w:autoSpaceDN/>
        <w:bidi w:val="0"/>
        <w:adjustRightInd/>
        <w:snapToGrid/>
        <w:spacing w:beforeAutospacing="0" w:after="0" w:afterLines="0" w:afterAutospacing="0" w:line="580" w:lineRule="exact"/>
        <w:ind w:left="0" w:leftChars="0" w:firstLine="680" w:firstLineChars="200"/>
        <w:textAlignment w:val="auto"/>
        <w:rPr>
          <w:rFonts w:hint="eastAsia" w:ascii="仿宋" w:hAnsi="仿宋" w:eastAsia="仿宋" w:cs="仿宋"/>
          <w:kern w:val="2"/>
          <w:sz w:val="34"/>
          <w:szCs w:val="34"/>
          <w:lang w:val="en-US" w:eastAsia="zh-CN" w:bidi="ar-SA"/>
        </w:rPr>
      </w:pPr>
    </w:p>
    <w:p>
      <w:pPr>
        <w:pStyle w:val="16"/>
        <w:keepNext w:val="0"/>
        <w:keepLines w:val="0"/>
        <w:pageBreakBefore w:val="0"/>
        <w:widowControl w:val="0"/>
        <w:kinsoku/>
        <w:wordWrap/>
        <w:overflowPunct/>
        <w:topLinePunct w:val="0"/>
        <w:autoSpaceDE/>
        <w:autoSpaceDN/>
        <w:bidi w:val="0"/>
        <w:adjustRightInd/>
        <w:snapToGrid/>
        <w:spacing w:beforeAutospacing="0" w:after="0" w:afterLines="0" w:afterAutospacing="0" w:line="580" w:lineRule="exact"/>
        <w:ind w:left="0" w:leftChars="0" w:firstLine="680" w:firstLineChars="200"/>
        <w:textAlignment w:val="auto"/>
        <w:rPr>
          <w:rFonts w:hint="eastAsia" w:ascii="仿宋" w:hAnsi="仿宋" w:eastAsia="仿宋" w:cs="仿宋"/>
          <w:kern w:val="2"/>
          <w:sz w:val="34"/>
          <w:szCs w:val="34"/>
          <w:highlight w:val="none"/>
          <w:u w:val="none"/>
          <w:lang w:val="en-US" w:eastAsia="zh-CN" w:bidi="ar-SA"/>
        </w:rPr>
      </w:pPr>
      <w:r>
        <w:rPr>
          <w:rFonts w:hint="eastAsia" w:ascii="仿宋" w:hAnsi="仿宋" w:eastAsia="仿宋" w:cs="仿宋"/>
          <w:kern w:val="2"/>
          <w:sz w:val="34"/>
          <w:szCs w:val="34"/>
          <w:lang w:val="en-US" w:eastAsia="zh-CN" w:bidi="ar-SA"/>
        </w:rPr>
        <w:t>附件：1.</w:t>
      </w:r>
      <w:r>
        <w:rPr>
          <w:rFonts w:hint="eastAsia" w:ascii="仿宋" w:hAnsi="仿宋" w:eastAsia="仿宋" w:cs="仿宋"/>
          <w:kern w:val="2"/>
          <w:sz w:val="34"/>
          <w:szCs w:val="34"/>
          <w:highlight w:val="none"/>
          <w:u w:val="none"/>
          <w:lang w:val="en-US" w:eastAsia="zh-CN" w:bidi="ar-SA"/>
        </w:rPr>
        <w:t>白城绿电产业示范园区</w:t>
      </w:r>
      <w:r>
        <w:rPr>
          <w:rFonts w:hint="eastAsia" w:ascii="仿宋" w:hAnsi="仿宋" w:eastAsia="仿宋" w:cs="仿宋"/>
          <w:kern w:val="2"/>
          <w:sz w:val="34"/>
          <w:szCs w:val="34"/>
          <w:lang w:val="en-US" w:eastAsia="zh-CN" w:bidi="ar-SA"/>
        </w:rPr>
        <w:t>入园条件</w:t>
      </w:r>
    </w:p>
    <w:p>
      <w:pPr>
        <w:pStyle w:val="16"/>
        <w:keepNext w:val="0"/>
        <w:keepLines w:val="0"/>
        <w:pageBreakBefore w:val="0"/>
        <w:widowControl w:val="0"/>
        <w:numPr>
          <w:ilvl w:val="0"/>
          <w:numId w:val="0"/>
        </w:numPr>
        <w:kinsoku/>
        <w:wordWrap/>
        <w:overflowPunct/>
        <w:topLinePunct w:val="0"/>
        <w:autoSpaceDE/>
        <w:autoSpaceDN/>
        <w:bidi w:val="0"/>
        <w:adjustRightInd/>
        <w:snapToGrid/>
        <w:spacing w:beforeAutospacing="0" w:after="0" w:afterLines="0" w:afterAutospacing="0" w:line="580" w:lineRule="exact"/>
        <w:ind w:left="1700" w:leftChars="0"/>
        <w:textAlignment w:val="auto"/>
        <w:rPr>
          <w:rFonts w:hint="eastAsia" w:ascii="仿宋" w:hAnsi="仿宋" w:eastAsia="仿宋" w:cs="仿宋"/>
          <w:kern w:val="2"/>
          <w:sz w:val="34"/>
          <w:szCs w:val="34"/>
          <w:highlight w:val="none"/>
          <w:u w:val="none"/>
          <w:lang w:val="en-US" w:eastAsia="zh-CN" w:bidi="ar-SA"/>
        </w:rPr>
      </w:pPr>
      <w:r>
        <w:rPr>
          <w:rFonts w:hint="eastAsia" w:ascii="仿宋" w:hAnsi="仿宋" w:eastAsia="仿宋" w:cs="仿宋"/>
          <w:kern w:val="2"/>
          <w:sz w:val="34"/>
          <w:szCs w:val="34"/>
          <w:highlight w:val="none"/>
          <w:u w:val="none"/>
          <w:lang w:val="en-US" w:eastAsia="zh-CN" w:bidi="ar-SA"/>
        </w:rPr>
        <w:t>2.白城绿电产业示范园区配套电源规划</w:t>
      </w:r>
    </w:p>
    <w:p>
      <w:pPr>
        <w:pStyle w:val="16"/>
        <w:keepNext w:val="0"/>
        <w:keepLines w:val="0"/>
        <w:pageBreakBefore w:val="0"/>
        <w:widowControl w:val="0"/>
        <w:numPr>
          <w:ilvl w:val="0"/>
          <w:numId w:val="0"/>
        </w:numPr>
        <w:kinsoku/>
        <w:wordWrap/>
        <w:overflowPunct/>
        <w:topLinePunct w:val="0"/>
        <w:autoSpaceDE/>
        <w:autoSpaceDN/>
        <w:bidi w:val="0"/>
        <w:adjustRightInd/>
        <w:snapToGrid/>
        <w:spacing w:beforeAutospacing="0" w:after="0" w:afterLines="0" w:afterAutospacing="0" w:line="580" w:lineRule="exact"/>
        <w:ind w:left="1700" w:leftChars="0"/>
        <w:textAlignment w:val="auto"/>
        <w:rPr>
          <w:rFonts w:hint="eastAsia" w:ascii="仿宋" w:hAnsi="仿宋" w:eastAsia="仿宋" w:cs="仿宋"/>
          <w:kern w:val="2"/>
          <w:sz w:val="34"/>
          <w:szCs w:val="34"/>
          <w:highlight w:val="none"/>
          <w:u w:val="none"/>
          <w:lang w:val="en-US" w:eastAsia="zh-CN" w:bidi="ar-SA"/>
        </w:rPr>
      </w:pPr>
      <w:r>
        <w:rPr>
          <w:rFonts w:hint="eastAsia" w:ascii="仿宋" w:hAnsi="仿宋" w:eastAsia="仿宋" w:cs="仿宋"/>
          <w:kern w:val="2"/>
          <w:sz w:val="34"/>
          <w:szCs w:val="34"/>
          <w:highlight w:val="none"/>
          <w:u w:val="none"/>
          <w:lang w:val="en-US" w:eastAsia="zh-CN" w:bidi="ar-SA"/>
        </w:rPr>
        <w:t>3.白城绿电产业示范园区产业发展基地规划</w:t>
      </w:r>
    </w:p>
    <w:p>
      <w:pPr>
        <w:pStyle w:val="16"/>
        <w:keepNext w:val="0"/>
        <w:keepLines w:val="0"/>
        <w:pageBreakBefore w:val="0"/>
        <w:widowControl w:val="0"/>
        <w:kinsoku/>
        <w:wordWrap/>
        <w:overflowPunct/>
        <w:topLinePunct w:val="0"/>
        <w:autoSpaceDE/>
        <w:autoSpaceDN/>
        <w:bidi w:val="0"/>
        <w:adjustRightInd/>
        <w:snapToGrid/>
        <w:spacing w:beforeAutospacing="0" w:after="0" w:afterLines="0" w:afterAutospacing="0" w:line="590" w:lineRule="exact"/>
        <w:ind w:left="0" w:leftChars="0" w:firstLine="0" w:firstLineChars="0"/>
        <w:jc w:val="both"/>
        <w:textAlignment w:val="auto"/>
        <w:rPr>
          <w:rFonts w:hint="eastAsia" w:ascii="仿宋" w:hAnsi="仿宋" w:eastAsia="仿宋" w:cs="仿宋"/>
          <w:kern w:val="2"/>
          <w:sz w:val="32"/>
          <w:szCs w:val="32"/>
          <w:highlight w:val="none"/>
          <w:u w:val="none"/>
          <w:lang w:val="en-US" w:eastAsia="zh-CN" w:bidi="ar-SA"/>
        </w:rPr>
      </w:pPr>
    </w:p>
    <w:p>
      <w:pPr>
        <w:pStyle w:val="16"/>
        <w:keepNext w:val="0"/>
        <w:keepLines w:val="0"/>
        <w:pageBreakBefore w:val="0"/>
        <w:widowControl w:val="0"/>
        <w:kinsoku/>
        <w:wordWrap/>
        <w:overflowPunct/>
        <w:topLinePunct w:val="0"/>
        <w:autoSpaceDE/>
        <w:autoSpaceDN/>
        <w:bidi w:val="0"/>
        <w:adjustRightInd/>
        <w:snapToGrid/>
        <w:spacing w:beforeAutospacing="0" w:after="0" w:afterLines="0" w:afterAutospacing="0" w:line="590" w:lineRule="exact"/>
        <w:ind w:left="0" w:leftChars="0" w:firstLine="0" w:firstLineChars="0"/>
        <w:jc w:val="both"/>
        <w:textAlignment w:val="auto"/>
        <w:rPr>
          <w:rFonts w:hint="eastAsia" w:eastAsia="仿宋_GB2312" w:cs="Times New Roman"/>
          <w:kern w:val="2"/>
          <w:sz w:val="34"/>
          <w:szCs w:val="34"/>
          <w:highlight w:val="none"/>
          <w:u w:val="none"/>
          <w:lang w:val="en-US" w:eastAsia="zh-CN" w:bidi="ar-SA"/>
        </w:rPr>
      </w:pPr>
    </w:p>
    <w:p>
      <w:pPr>
        <w:pStyle w:val="16"/>
        <w:keepNext w:val="0"/>
        <w:keepLines w:val="0"/>
        <w:pageBreakBefore w:val="0"/>
        <w:widowControl w:val="0"/>
        <w:kinsoku/>
        <w:wordWrap/>
        <w:overflowPunct/>
        <w:topLinePunct w:val="0"/>
        <w:autoSpaceDE/>
        <w:autoSpaceDN/>
        <w:bidi w:val="0"/>
        <w:adjustRightInd/>
        <w:snapToGrid/>
        <w:spacing w:beforeAutospacing="0" w:after="0" w:afterLines="0" w:afterAutospacing="0" w:line="590" w:lineRule="exact"/>
        <w:ind w:left="0" w:leftChars="0" w:firstLine="0" w:firstLineChars="0"/>
        <w:jc w:val="both"/>
        <w:textAlignment w:val="auto"/>
        <w:rPr>
          <w:rFonts w:hint="eastAsia" w:ascii="黑体" w:hAnsi="黑体" w:eastAsia="黑体" w:cs="黑体"/>
          <w:kern w:val="2"/>
          <w:sz w:val="32"/>
          <w:szCs w:val="32"/>
          <w:highlight w:val="none"/>
          <w:u w:val="none"/>
          <w:lang w:val="en-US" w:eastAsia="zh-CN" w:bidi="ar-SA"/>
        </w:rPr>
      </w:pPr>
    </w:p>
    <w:p>
      <w:pPr>
        <w:pStyle w:val="16"/>
        <w:keepNext w:val="0"/>
        <w:keepLines w:val="0"/>
        <w:pageBreakBefore w:val="0"/>
        <w:widowControl w:val="0"/>
        <w:kinsoku/>
        <w:wordWrap/>
        <w:overflowPunct/>
        <w:topLinePunct w:val="0"/>
        <w:autoSpaceDE/>
        <w:autoSpaceDN/>
        <w:bidi w:val="0"/>
        <w:adjustRightInd/>
        <w:snapToGrid/>
        <w:spacing w:beforeAutospacing="0" w:after="0" w:afterLines="0" w:afterAutospacing="0" w:line="590" w:lineRule="exact"/>
        <w:ind w:left="0" w:leftChars="0" w:firstLine="0" w:firstLineChars="0"/>
        <w:jc w:val="both"/>
        <w:textAlignment w:val="auto"/>
        <w:rPr>
          <w:rFonts w:hint="eastAsia" w:ascii="黑体" w:hAnsi="黑体" w:eastAsia="黑体" w:cs="黑体"/>
          <w:kern w:val="2"/>
          <w:sz w:val="32"/>
          <w:szCs w:val="32"/>
          <w:highlight w:val="none"/>
          <w:u w:val="none"/>
          <w:lang w:val="en-US" w:eastAsia="zh-CN" w:bidi="ar-SA"/>
        </w:rPr>
      </w:pPr>
    </w:p>
    <w:p>
      <w:pPr>
        <w:pStyle w:val="16"/>
        <w:keepNext w:val="0"/>
        <w:keepLines w:val="0"/>
        <w:pageBreakBefore w:val="0"/>
        <w:widowControl w:val="0"/>
        <w:kinsoku/>
        <w:wordWrap/>
        <w:overflowPunct/>
        <w:topLinePunct w:val="0"/>
        <w:autoSpaceDE/>
        <w:autoSpaceDN/>
        <w:bidi w:val="0"/>
        <w:adjustRightInd/>
        <w:snapToGrid/>
        <w:spacing w:beforeAutospacing="0" w:after="0" w:afterLines="0" w:afterAutospacing="0" w:line="590" w:lineRule="exact"/>
        <w:ind w:left="0" w:leftChars="0" w:firstLine="0" w:firstLineChars="0"/>
        <w:jc w:val="both"/>
        <w:textAlignment w:val="auto"/>
        <w:rPr>
          <w:rFonts w:hint="eastAsia" w:ascii="黑体" w:hAnsi="黑体" w:eastAsia="黑体" w:cs="黑体"/>
          <w:kern w:val="2"/>
          <w:sz w:val="32"/>
          <w:szCs w:val="32"/>
          <w:highlight w:val="none"/>
          <w:u w:val="none"/>
          <w:lang w:val="en-US" w:eastAsia="zh-CN" w:bidi="ar-SA"/>
        </w:rPr>
      </w:pPr>
    </w:p>
    <w:p>
      <w:pPr>
        <w:pStyle w:val="16"/>
        <w:keepNext w:val="0"/>
        <w:keepLines w:val="0"/>
        <w:pageBreakBefore w:val="0"/>
        <w:widowControl w:val="0"/>
        <w:kinsoku/>
        <w:wordWrap/>
        <w:overflowPunct/>
        <w:topLinePunct w:val="0"/>
        <w:autoSpaceDE/>
        <w:autoSpaceDN/>
        <w:bidi w:val="0"/>
        <w:adjustRightInd/>
        <w:snapToGrid/>
        <w:spacing w:beforeAutospacing="0" w:after="0" w:afterLines="0" w:afterAutospacing="0" w:line="590" w:lineRule="exact"/>
        <w:ind w:left="0" w:leftChars="0" w:firstLine="0" w:firstLineChars="0"/>
        <w:jc w:val="both"/>
        <w:textAlignment w:val="auto"/>
        <w:rPr>
          <w:rFonts w:hint="eastAsia" w:ascii="黑体" w:hAnsi="黑体" w:eastAsia="黑体" w:cs="黑体"/>
          <w:kern w:val="2"/>
          <w:sz w:val="32"/>
          <w:szCs w:val="32"/>
          <w:highlight w:val="none"/>
          <w:u w:val="none"/>
          <w:lang w:val="en-US" w:eastAsia="zh-CN" w:bidi="ar-SA"/>
        </w:rPr>
      </w:pPr>
      <w:r>
        <w:rPr>
          <w:rFonts w:hint="eastAsia" w:ascii="黑体" w:hAnsi="黑体" w:eastAsia="黑体" w:cs="黑体"/>
          <w:kern w:val="2"/>
          <w:sz w:val="32"/>
          <w:szCs w:val="32"/>
          <w:highlight w:val="none"/>
          <w:u w:val="none"/>
          <w:lang w:val="en-US" w:eastAsia="zh-CN" w:bidi="ar-SA"/>
        </w:rPr>
        <w:t>附件1</w:t>
      </w:r>
    </w:p>
    <w:p>
      <w:pPr>
        <w:pStyle w:val="16"/>
        <w:keepNext w:val="0"/>
        <w:keepLines w:val="0"/>
        <w:pageBreakBefore w:val="0"/>
        <w:widowControl w:val="0"/>
        <w:kinsoku/>
        <w:wordWrap/>
        <w:overflowPunct/>
        <w:topLinePunct w:val="0"/>
        <w:autoSpaceDE/>
        <w:autoSpaceDN/>
        <w:bidi w:val="0"/>
        <w:adjustRightInd/>
        <w:snapToGrid/>
        <w:spacing w:beforeAutospacing="0" w:after="0" w:afterLines="0" w:afterAutospacing="0" w:line="590" w:lineRule="exact"/>
        <w:ind w:left="0" w:leftChars="0" w:firstLine="0" w:firstLineChars="0"/>
        <w:jc w:val="center"/>
        <w:textAlignment w:val="auto"/>
        <w:rPr>
          <w:rFonts w:hint="eastAsia" w:ascii="方正小标宋_GBK" w:hAnsi="方正小标宋_GBK" w:eastAsia="方正小标宋_GBK" w:cs="方正小标宋_GBK"/>
          <w:kern w:val="2"/>
          <w:sz w:val="44"/>
          <w:szCs w:val="44"/>
          <w:highlight w:val="none"/>
          <w:u w:val="none"/>
          <w:lang w:val="en-US" w:eastAsia="zh-CN" w:bidi="ar-SA"/>
        </w:rPr>
      </w:pPr>
    </w:p>
    <w:p>
      <w:pPr>
        <w:pStyle w:val="16"/>
        <w:keepNext w:val="0"/>
        <w:keepLines w:val="0"/>
        <w:pageBreakBefore w:val="0"/>
        <w:widowControl w:val="0"/>
        <w:kinsoku/>
        <w:wordWrap/>
        <w:overflowPunct/>
        <w:topLinePunct w:val="0"/>
        <w:autoSpaceDE/>
        <w:autoSpaceDN/>
        <w:bidi w:val="0"/>
        <w:adjustRightInd/>
        <w:snapToGrid/>
        <w:spacing w:beforeAutospacing="0" w:after="0" w:afterLines="0" w:afterAutospacing="0" w:line="590" w:lineRule="exact"/>
        <w:ind w:left="0" w:leftChars="0" w:firstLine="0" w:firstLineChars="0"/>
        <w:jc w:val="center"/>
        <w:textAlignment w:val="auto"/>
        <w:rPr>
          <w:rFonts w:hint="eastAsia" w:ascii="方正小标宋_GBK" w:hAnsi="方正小标宋_GBK" w:eastAsia="方正小标宋_GBK" w:cs="方正小标宋_GBK"/>
          <w:kern w:val="2"/>
          <w:sz w:val="44"/>
          <w:szCs w:val="44"/>
          <w:highlight w:val="none"/>
          <w:u w:val="none"/>
          <w:lang w:val="en-US" w:eastAsia="zh-CN" w:bidi="ar-SA"/>
        </w:rPr>
      </w:pPr>
      <w:r>
        <w:rPr>
          <w:rFonts w:hint="eastAsia" w:ascii="方正小标宋_GBK" w:hAnsi="方正小标宋_GBK" w:eastAsia="方正小标宋_GBK" w:cs="方正小标宋_GBK"/>
          <w:kern w:val="2"/>
          <w:sz w:val="44"/>
          <w:szCs w:val="44"/>
          <w:highlight w:val="none"/>
          <w:u w:val="none"/>
          <w:lang w:val="en-US" w:eastAsia="zh-CN" w:bidi="ar-SA"/>
        </w:rPr>
        <w:t>白城绿电产业示范园区</w:t>
      </w:r>
      <w:r>
        <w:rPr>
          <w:rFonts w:hint="eastAsia" w:ascii="方正小标宋_GBK" w:hAnsi="方正小标宋_GBK" w:eastAsia="方正小标宋_GBK" w:cs="方正小标宋_GBK"/>
          <w:kern w:val="2"/>
          <w:sz w:val="44"/>
          <w:szCs w:val="44"/>
          <w:lang w:val="en-US" w:eastAsia="zh-CN" w:bidi="ar-SA"/>
        </w:rPr>
        <w:t>入园条件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1.入园企业实施的项目要符合国家产业政策、工业投资项目管理要求，符合安全生产、环境保护要求和相关法律法规。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2.入园企业项目规划方案必须符合土地规划设计条件，服从白城市及园区控制性规划、总体规划、产业规划。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入园企业固定资产投资强度不低于300万元/亩（667平米），税收强度不低于20万元/亩，产出强度不低于500万元/亩，开票不低于400万元/亩，年用电量不低于1亿度（先进制造业、大数据、新材料或其它战略性新兴产业高质量项目可以一事一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入园企业项目在取得土地证后，半年内开工建设。如项目自国土部门依法交付土地之日起，两年内未开工建设或超过国家有关土地法规政策规定期限的，白城市有权按规定无偿收回该企业项目土地使用权。未经园区同意入园企业不得向其它企业或机构、个人采取包括但不限于股权转让等方式转让项目用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5.入园企业项目承建单位，凡属白城市外的建筑施工安装等资质企业在园区经营的，必须在园区开票纳税。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sz w:val="32"/>
          <w:szCs w:val="32"/>
          <w:lang w:val="en-US" w:eastAsia="zh-CN"/>
        </w:rPr>
      </w:pPr>
      <w:r>
        <w:rPr>
          <w:rFonts w:hint="eastAsia" w:ascii="仿宋_GB2312" w:hAnsi="仿宋_GB2312" w:eastAsia="仿宋_GB2312" w:cs="仿宋_GB2312"/>
          <w:sz w:val="32"/>
          <w:szCs w:val="32"/>
          <w:lang w:val="en-US" w:eastAsia="zh-CN"/>
        </w:rPr>
        <w:t>6.入园企业项目竣工投产后3年内未达到第3条要求的，需按照普通工业用电价格补缴用电费用。</w:t>
      </w:r>
    </w:p>
    <w:p>
      <w:pPr>
        <w:pStyle w:val="16"/>
        <w:keepNext w:val="0"/>
        <w:keepLines w:val="0"/>
        <w:pageBreakBefore w:val="0"/>
        <w:widowControl w:val="0"/>
        <w:kinsoku/>
        <w:wordWrap/>
        <w:overflowPunct/>
        <w:topLinePunct w:val="0"/>
        <w:autoSpaceDE/>
        <w:autoSpaceDN/>
        <w:bidi w:val="0"/>
        <w:adjustRightInd/>
        <w:snapToGrid/>
        <w:spacing w:beforeAutospacing="0" w:after="0" w:afterLines="0" w:afterAutospacing="0" w:line="590" w:lineRule="exact"/>
        <w:ind w:left="0" w:leftChars="0" w:firstLine="0" w:firstLineChars="0"/>
        <w:jc w:val="both"/>
        <w:textAlignment w:val="auto"/>
        <w:rPr>
          <w:rFonts w:hint="eastAsia" w:ascii="黑体" w:hAnsi="黑体" w:eastAsia="黑体" w:cs="黑体"/>
          <w:kern w:val="2"/>
          <w:sz w:val="32"/>
          <w:szCs w:val="32"/>
          <w:highlight w:val="none"/>
          <w:u w:val="none"/>
          <w:lang w:val="en-US" w:eastAsia="zh-CN" w:bidi="ar-SA"/>
        </w:rPr>
      </w:pPr>
      <w:r>
        <w:rPr>
          <w:rFonts w:hint="eastAsia" w:ascii="黑体" w:hAnsi="黑体" w:eastAsia="黑体" w:cs="黑体"/>
          <w:kern w:val="2"/>
          <w:sz w:val="32"/>
          <w:szCs w:val="32"/>
          <w:highlight w:val="none"/>
          <w:u w:val="none"/>
          <w:lang w:val="en-US" w:eastAsia="zh-CN" w:bidi="ar-SA"/>
        </w:rPr>
        <w:t>附件2</w:t>
      </w:r>
    </w:p>
    <w:p>
      <w:pPr>
        <w:pStyle w:val="16"/>
        <w:keepNext w:val="0"/>
        <w:keepLines w:val="0"/>
        <w:pageBreakBefore w:val="0"/>
        <w:widowControl w:val="0"/>
        <w:kinsoku/>
        <w:wordWrap/>
        <w:overflowPunct/>
        <w:topLinePunct w:val="0"/>
        <w:autoSpaceDE/>
        <w:autoSpaceDN/>
        <w:bidi w:val="0"/>
        <w:adjustRightInd/>
        <w:snapToGrid/>
        <w:spacing w:beforeAutospacing="0" w:after="0" w:afterLines="0" w:afterAutospacing="0" w:line="590" w:lineRule="exact"/>
        <w:ind w:left="0" w:leftChars="0" w:firstLine="0" w:firstLineChars="0"/>
        <w:jc w:val="both"/>
        <w:textAlignment w:val="auto"/>
        <w:rPr>
          <w:rFonts w:hint="eastAsia" w:ascii="仿宋" w:hAnsi="仿宋" w:eastAsia="仿宋" w:cs="仿宋"/>
          <w:kern w:val="2"/>
          <w:sz w:val="32"/>
          <w:szCs w:val="32"/>
          <w:highlight w:val="none"/>
          <w:u w:val="none"/>
          <w:lang w:val="en-US" w:eastAsia="zh-CN" w:bidi="ar-SA"/>
        </w:rPr>
      </w:pPr>
    </w:p>
    <w:p>
      <w:pPr>
        <w:pStyle w:val="16"/>
        <w:keepNext w:val="0"/>
        <w:keepLines w:val="0"/>
        <w:pageBreakBefore w:val="0"/>
        <w:widowControl w:val="0"/>
        <w:kinsoku/>
        <w:wordWrap/>
        <w:overflowPunct/>
        <w:topLinePunct w:val="0"/>
        <w:autoSpaceDE/>
        <w:autoSpaceDN/>
        <w:bidi w:val="0"/>
        <w:adjustRightInd/>
        <w:snapToGrid/>
        <w:spacing w:beforeAutospacing="0" w:after="0" w:afterLines="0" w:afterAutospacing="0" w:line="580" w:lineRule="exact"/>
        <w:ind w:left="0" w:leftChars="0" w:firstLine="0" w:firstLineChars="0"/>
        <w:jc w:val="center"/>
        <w:textAlignment w:val="auto"/>
        <w:rPr>
          <w:rFonts w:hint="eastAsia" w:ascii="方正小标宋_GBK" w:hAnsi="方正小标宋_GBK" w:eastAsia="方正小标宋_GBK" w:cs="方正小标宋_GBK"/>
          <w:kern w:val="2"/>
          <w:sz w:val="44"/>
          <w:szCs w:val="44"/>
          <w:highlight w:val="none"/>
          <w:u w:val="none"/>
          <w:lang w:val="en-US" w:eastAsia="zh-CN" w:bidi="ar-SA"/>
        </w:rPr>
      </w:pPr>
      <w:r>
        <w:rPr>
          <w:rFonts w:hint="eastAsia" w:ascii="方正小标宋_GBK" w:hAnsi="方正小标宋_GBK" w:eastAsia="方正小标宋_GBK" w:cs="方正小标宋_GBK"/>
          <w:kern w:val="2"/>
          <w:sz w:val="44"/>
          <w:szCs w:val="44"/>
          <w:highlight w:val="none"/>
          <w:u w:val="none"/>
          <w:lang w:val="en-US" w:eastAsia="zh-CN" w:bidi="ar-SA"/>
        </w:rPr>
        <w:t>白城绿电产业示范园区配套电源规划</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以白城市洮北区为核心，整合100公里半径内全市风、光资</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textAlignment w:val="auto"/>
        <w:rPr>
          <w:rFonts w:hint="eastAsia" w:ascii="黑体" w:hAnsi="黑体" w:eastAsia="黑体" w:cs="黑体"/>
          <w:color w:val="000000"/>
          <w:sz w:val="32"/>
          <w:szCs w:val="32"/>
          <w:lang w:val="en-US" w:eastAsia="zh-CN"/>
        </w:rPr>
      </w:pPr>
      <w:r>
        <w:rPr>
          <w:rFonts w:hint="eastAsia" w:ascii="仿宋" w:hAnsi="仿宋" w:eastAsia="仿宋" w:cs="仿宋"/>
          <w:sz w:val="32"/>
          <w:szCs w:val="32"/>
        </w:rPr>
        <w:t>源，</w:t>
      </w:r>
      <w:r>
        <w:rPr>
          <w:rFonts w:hint="eastAsia" w:ascii="仿宋" w:hAnsi="仿宋" w:eastAsia="仿宋" w:cs="仿宋"/>
          <w:color w:val="000000"/>
          <w:sz w:val="32"/>
          <w:szCs w:val="32"/>
        </w:rPr>
        <w:t>规划建设容量为1363万千瓦风电场、928万千瓦光伏电站，作为白城绿电产业示范园区的增量配套电站。</w:t>
      </w:r>
    </w:p>
    <w:tbl>
      <w:tblPr>
        <w:tblStyle w:val="10"/>
        <w:tblpPr w:leftFromText="180" w:rightFromText="180" w:vertAnchor="page" w:horzAnchor="page" w:tblpX="1801" w:tblpY="6326"/>
        <w:tblOverlap w:val="never"/>
        <w:tblW w:w="8783" w:type="dxa"/>
        <w:tblInd w:w="0" w:type="dxa"/>
        <w:tblLayout w:type="fixed"/>
        <w:tblCellMar>
          <w:top w:w="0" w:type="dxa"/>
          <w:left w:w="108" w:type="dxa"/>
          <w:bottom w:w="0" w:type="dxa"/>
          <w:right w:w="108" w:type="dxa"/>
        </w:tblCellMar>
      </w:tblPr>
      <w:tblGrid>
        <w:gridCol w:w="1183"/>
        <w:gridCol w:w="1272"/>
        <w:gridCol w:w="1903"/>
        <w:gridCol w:w="1203"/>
        <w:gridCol w:w="1"/>
        <w:gridCol w:w="1"/>
        <w:gridCol w:w="1952"/>
        <w:gridCol w:w="1"/>
        <w:gridCol w:w="1267"/>
      </w:tblGrid>
      <w:tr>
        <w:tblPrEx>
          <w:tblCellMar>
            <w:top w:w="0" w:type="dxa"/>
            <w:left w:w="108" w:type="dxa"/>
            <w:bottom w:w="0" w:type="dxa"/>
            <w:right w:w="108" w:type="dxa"/>
          </w:tblCellMar>
        </w:tblPrEx>
        <w:trPr>
          <w:trHeight w:val="753" w:hRule="atLeast"/>
        </w:trPr>
        <w:tc>
          <w:tcPr>
            <w:tcW w:w="8783" w:type="dxa"/>
            <w:gridSpan w:val="9"/>
            <w:tcBorders>
              <w:top w:val="nil"/>
              <w:left w:val="nil"/>
              <w:bottom w:val="single" w:color="auto" w:sz="4" w:space="0"/>
              <w:right w:val="nil"/>
            </w:tcBorders>
            <w:vAlign w:val="center"/>
          </w:tcPr>
          <w:p>
            <w:pPr>
              <w:widowControl/>
              <w:jc w:val="center"/>
              <w:rPr>
                <w:rFonts w:ascii="Times New Roman" w:hAnsi="Times New Roman"/>
                <w:b/>
                <w:bCs/>
                <w:kern w:val="0"/>
                <w:sz w:val="24"/>
                <w:szCs w:val="24"/>
              </w:rPr>
            </w:pPr>
            <w:r>
              <w:rPr>
                <w:rFonts w:hint="eastAsia" w:ascii="黑体" w:hAnsi="黑体" w:eastAsia="黑体" w:cs="黑体"/>
                <w:color w:val="000000"/>
                <w:sz w:val="32"/>
                <w:szCs w:val="32"/>
                <w:lang w:val="en-US" w:eastAsia="zh-CN"/>
              </w:rPr>
              <w:t>风电场区规划汇总表</w:t>
            </w:r>
          </w:p>
        </w:tc>
      </w:tr>
      <w:tr>
        <w:trPr>
          <w:trHeight w:val="960" w:hRule="atLeast"/>
        </w:trPr>
        <w:tc>
          <w:tcPr>
            <w:tcW w:w="11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b/>
                <w:bCs/>
                <w:kern w:val="0"/>
                <w:sz w:val="24"/>
                <w:szCs w:val="24"/>
                <w:lang w:val="en-US" w:eastAsia="zh-CN"/>
              </w:rPr>
            </w:pPr>
            <w:r>
              <w:rPr>
                <w:rFonts w:hint="eastAsia" w:ascii="Times New Roman" w:hAnsi="Times New Roman"/>
                <w:b/>
                <w:bCs/>
                <w:kern w:val="0"/>
                <w:sz w:val="24"/>
                <w:szCs w:val="24"/>
                <w:lang w:val="en-US" w:eastAsia="zh-CN"/>
              </w:rPr>
              <w:t>对应半径</w:t>
            </w:r>
          </w:p>
          <w:p>
            <w:pPr>
              <w:widowControl/>
              <w:jc w:val="center"/>
              <w:rPr>
                <w:rFonts w:hint="eastAsia" w:ascii="Times New Roman" w:hAnsi="Times New Roman" w:eastAsia="宋体" w:cs="Times New Roman"/>
                <w:b/>
                <w:bCs/>
                <w:kern w:val="0"/>
                <w:sz w:val="24"/>
                <w:szCs w:val="24"/>
                <w:lang w:val="en-US" w:eastAsia="zh-CN" w:bidi="ar-SA"/>
              </w:rPr>
            </w:pPr>
            <w:r>
              <w:rPr>
                <w:rFonts w:hint="eastAsia"/>
                <w:b/>
                <w:bCs/>
                <w:kern w:val="0"/>
                <w:sz w:val="24"/>
                <w:szCs w:val="24"/>
                <w:lang w:eastAsia="zh-CN"/>
              </w:rPr>
              <w:t>（</w:t>
            </w:r>
            <w:r>
              <w:rPr>
                <w:rFonts w:hint="eastAsia" w:ascii="Times New Roman" w:hAnsi="Times New Roman"/>
                <w:b/>
                <w:bCs/>
                <w:kern w:val="0"/>
                <w:sz w:val="24"/>
                <w:szCs w:val="24"/>
              </w:rPr>
              <w:t>km</w:t>
            </w:r>
            <w:r>
              <w:rPr>
                <w:rFonts w:hint="eastAsia"/>
                <w:b/>
                <w:bCs/>
                <w:kern w:val="0"/>
                <w:sz w:val="24"/>
                <w:szCs w:val="24"/>
                <w:lang w:eastAsia="zh-CN"/>
              </w:rPr>
              <w:t>）</w:t>
            </w:r>
          </w:p>
        </w:tc>
        <w:tc>
          <w:tcPr>
            <w:tcW w:w="1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b/>
                <w:bCs/>
                <w:kern w:val="0"/>
                <w:sz w:val="24"/>
                <w:szCs w:val="24"/>
                <w:lang w:val="en-US" w:eastAsia="zh-CN" w:bidi="ar-SA"/>
              </w:rPr>
            </w:pPr>
            <w:r>
              <w:rPr>
                <w:rFonts w:ascii="Times New Roman" w:hAnsi="Times New Roman"/>
                <w:b/>
                <w:bCs/>
                <w:kern w:val="0"/>
                <w:sz w:val="24"/>
                <w:szCs w:val="24"/>
              </w:rPr>
              <w:t>地区</w:t>
            </w:r>
          </w:p>
        </w:tc>
        <w:tc>
          <w:tcPr>
            <w:tcW w:w="19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b/>
                <w:bCs/>
                <w:kern w:val="0"/>
                <w:sz w:val="24"/>
                <w:szCs w:val="24"/>
                <w:lang w:val="en-US" w:eastAsia="zh-CN" w:bidi="ar-SA"/>
              </w:rPr>
            </w:pPr>
            <w:r>
              <w:rPr>
                <w:rFonts w:ascii="Times New Roman" w:hAnsi="Times New Roman"/>
                <w:b/>
                <w:bCs/>
                <w:kern w:val="0"/>
                <w:sz w:val="24"/>
                <w:szCs w:val="24"/>
              </w:rPr>
              <w:t>场址名称</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
                <w:bCs/>
                <w:kern w:val="0"/>
                <w:sz w:val="24"/>
                <w:szCs w:val="24"/>
              </w:rPr>
            </w:pPr>
            <w:r>
              <w:rPr>
                <w:rFonts w:ascii="Times New Roman" w:hAnsi="Times New Roman"/>
                <w:b/>
                <w:bCs/>
                <w:kern w:val="0"/>
                <w:sz w:val="24"/>
                <w:szCs w:val="24"/>
              </w:rPr>
              <w:t>规划面积</w:t>
            </w:r>
          </w:p>
          <w:p>
            <w:pPr>
              <w:widowControl/>
              <w:jc w:val="center"/>
              <w:rPr>
                <w:rFonts w:hint="eastAsia" w:ascii="Times New Roman" w:hAnsi="Times New Roman" w:eastAsia="宋体" w:cs="Times New Roman"/>
                <w:b/>
                <w:bCs/>
                <w:kern w:val="0"/>
                <w:sz w:val="24"/>
                <w:szCs w:val="24"/>
                <w:lang w:val="en-US" w:eastAsia="zh-CN" w:bidi="ar-SA"/>
              </w:rPr>
            </w:pPr>
            <w:r>
              <w:rPr>
                <w:rFonts w:hint="eastAsia" w:ascii="Times New Roman" w:hAnsi="Times New Roman"/>
                <w:b/>
                <w:bCs/>
                <w:kern w:val="0"/>
                <w:sz w:val="24"/>
                <w:szCs w:val="24"/>
                <w:lang w:eastAsia="zh-CN"/>
              </w:rPr>
              <w:t>（</w:t>
            </w:r>
            <w:r>
              <w:rPr>
                <w:rFonts w:ascii="Times New Roman" w:hAnsi="Times New Roman"/>
                <w:b/>
                <w:bCs/>
                <w:kern w:val="0"/>
                <w:sz w:val="24"/>
                <w:szCs w:val="24"/>
              </w:rPr>
              <w:t>km</w:t>
            </w:r>
            <w:r>
              <w:rPr>
                <w:rFonts w:ascii="Times New Roman" w:hAnsi="Times New Roman"/>
                <w:b/>
                <w:bCs/>
                <w:kern w:val="0"/>
                <w:sz w:val="24"/>
                <w:szCs w:val="24"/>
                <w:vertAlign w:val="superscript"/>
              </w:rPr>
              <w:t>2</w:t>
            </w:r>
            <w:r>
              <w:rPr>
                <w:rFonts w:hint="eastAsia" w:ascii="Times New Roman" w:hAnsi="Times New Roman"/>
                <w:b/>
                <w:bCs/>
                <w:kern w:val="0"/>
                <w:sz w:val="24"/>
                <w:szCs w:val="24"/>
                <w:lang w:eastAsia="zh-CN"/>
              </w:rPr>
              <w:t>）</w:t>
            </w:r>
          </w:p>
        </w:tc>
        <w:tc>
          <w:tcPr>
            <w:tcW w:w="195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
                <w:bCs/>
                <w:kern w:val="0"/>
                <w:sz w:val="24"/>
                <w:szCs w:val="24"/>
              </w:rPr>
            </w:pPr>
            <w:r>
              <w:rPr>
                <w:rFonts w:ascii="Times New Roman" w:hAnsi="Times New Roman"/>
                <w:b/>
                <w:bCs/>
                <w:kern w:val="0"/>
                <w:sz w:val="24"/>
                <w:szCs w:val="24"/>
              </w:rPr>
              <w:t>实际可利用面积</w:t>
            </w:r>
          </w:p>
          <w:p>
            <w:pPr>
              <w:widowControl/>
              <w:jc w:val="center"/>
              <w:rPr>
                <w:rFonts w:hint="eastAsia" w:ascii="Times New Roman" w:hAnsi="Times New Roman" w:eastAsia="宋体" w:cs="Times New Roman"/>
                <w:b/>
                <w:bCs/>
                <w:kern w:val="0"/>
                <w:sz w:val="24"/>
                <w:szCs w:val="24"/>
                <w:lang w:val="en-US" w:eastAsia="zh-CN" w:bidi="ar-SA"/>
              </w:rPr>
            </w:pPr>
            <w:r>
              <w:rPr>
                <w:rFonts w:hint="eastAsia" w:ascii="Times New Roman" w:hAnsi="Times New Roman"/>
                <w:b/>
                <w:bCs/>
                <w:kern w:val="0"/>
                <w:sz w:val="24"/>
                <w:szCs w:val="24"/>
                <w:lang w:eastAsia="zh-CN"/>
              </w:rPr>
              <w:t>（</w:t>
            </w:r>
            <w:r>
              <w:rPr>
                <w:rFonts w:ascii="Times New Roman" w:hAnsi="Times New Roman"/>
                <w:b/>
                <w:bCs/>
                <w:kern w:val="0"/>
                <w:sz w:val="24"/>
                <w:szCs w:val="24"/>
              </w:rPr>
              <w:t>km</w:t>
            </w:r>
            <w:r>
              <w:rPr>
                <w:rFonts w:ascii="Times New Roman" w:hAnsi="Times New Roman"/>
                <w:b/>
                <w:bCs/>
                <w:kern w:val="0"/>
                <w:sz w:val="24"/>
                <w:szCs w:val="24"/>
                <w:vertAlign w:val="superscript"/>
              </w:rPr>
              <w:t>2</w:t>
            </w:r>
            <w:r>
              <w:rPr>
                <w:rFonts w:hint="eastAsia" w:ascii="Times New Roman" w:hAnsi="Times New Roman"/>
                <w:b/>
                <w:bCs/>
                <w:kern w:val="0"/>
                <w:sz w:val="24"/>
                <w:szCs w:val="24"/>
                <w:lang w:eastAsia="zh-CN"/>
              </w:rPr>
              <w:t>）</w:t>
            </w:r>
          </w:p>
        </w:tc>
        <w:tc>
          <w:tcPr>
            <w:tcW w:w="12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
                <w:bCs/>
                <w:kern w:val="0"/>
                <w:sz w:val="24"/>
                <w:szCs w:val="24"/>
              </w:rPr>
            </w:pPr>
            <w:r>
              <w:rPr>
                <w:rFonts w:hint="eastAsia" w:ascii="Times New Roman" w:hAnsi="Times New Roman"/>
                <w:b/>
                <w:bCs/>
                <w:kern w:val="0"/>
                <w:sz w:val="24"/>
                <w:szCs w:val="24"/>
              </w:rPr>
              <w:t>风电</w:t>
            </w:r>
            <w:r>
              <w:rPr>
                <w:rFonts w:ascii="Times New Roman" w:hAnsi="Times New Roman"/>
                <w:b/>
                <w:bCs/>
                <w:kern w:val="0"/>
                <w:sz w:val="24"/>
                <w:szCs w:val="24"/>
              </w:rPr>
              <w:t>容量</w:t>
            </w:r>
          </w:p>
          <w:p>
            <w:pPr>
              <w:widowControl/>
              <w:jc w:val="center"/>
              <w:rPr>
                <w:rFonts w:hint="eastAsia" w:ascii="Times New Roman" w:hAnsi="Times New Roman" w:eastAsia="宋体" w:cs="Times New Roman"/>
                <w:b/>
                <w:bCs/>
                <w:kern w:val="0"/>
                <w:sz w:val="24"/>
                <w:szCs w:val="24"/>
                <w:lang w:val="en-US" w:eastAsia="zh-CN" w:bidi="ar-SA"/>
              </w:rPr>
            </w:pPr>
            <w:r>
              <w:rPr>
                <w:rFonts w:hint="eastAsia"/>
                <w:b/>
                <w:bCs/>
                <w:kern w:val="0"/>
                <w:sz w:val="24"/>
                <w:szCs w:val="24"/>
                <w:lang w:eastAsia="zh-CN"/>
              </w:rPr>
              <w:t>（</w:t>
            </w:r>
            <w:r>
              <w:rPr>
                <w:rFonts w:ascii="Times New Roman" w:hAnsi="Times New Roman"/>
                <w:b/>
                <w:bCs/>
                <w:kern w:val="0"/>
                <w:sz w:val="24"/>
                <w:szCs w:val="24"/>
              </w:rPr>
              <w:t>MW</w:t>
            </w:r>
            <w:r>
              <w:rPr>
                <w:rFonts w:hint="eastAsia"/>
                <w:b/>
                <w:bCs/>
                <w:kern w:val="0"/>
                <w:sz w:val="24"/>
                <w:szCs w:val="24"/>
                <w:lang w:eastAsia="zh-CN"/>
              </w:rPr>
              <w:t>）</w:t>
            </w:r>
          </w:p>
        </w:tc>
      </w:tr>
      <w:tr>
        <w:tblPrEx>
          <w:tblCellMar>
            <w:top w:w="0" w:type="dxa"/>
            <w:left w:w="108" w:type="dxa"/>
            <w:bottom w:w="0" w:type="dxa"/>
            <w:right w:w="108" w:type="dxa"/>
          </w:tblCellMar>
        </w:tblPrEx>
        <w:trPr>
          <w:trHeight w:val="539" w:hRule="atLeast"/>
        </w:trPr>
        <w:tc>
          <w:tcPr>
            <w:tcW w:w="118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r>
              <w:rPr>
                <w:rFonts w:hint="eastAsia"/>
                <w:sz w:val="28"/>
                <w:szCs w:val="28"/>
              </w:rPr>
              <w:t>20</w:t>
            </w:r>
          </w:p>
        </w:tc>
        <w:tc>
          <w:tcPr>
            <w:tcW w:w="127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r>
              <w:rPr>
                <w:rFonts w:ascii="Times New Roman" w:hAnsi="Times New Roman"/>
                <w:kern w:val="0"/>
                <w:sz w:val="24"/>
                <w:szCs w:val="24"/>
              </w:rPr>
              <w:t>洮北区</w:t>
            </w:r>
          </w:p>
        </w:tc>
        <w:tc>
          <w:tcPr>
            <w:tcW w:w="1903"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Times New Roman" w:hAnsi="Times New Roman"/>
                <w:sz w:val="24"/>
                <w:szCs w:val="24"/>
              </w:rPr>
            </w:pPr>
            <w:r>
              <w:rPr>
                <w:rFonts w:hint="eastAsia" w:ascii="仿宋" w:hAnsi="仿宋" w:eastAsia="仿宋" w:cs="仿宋"/>
                <w:color w:val="000000"/>
                <w:sz w:val="24"/>
                <w:szCs w:val="24"/>
              </w:rPr>
              <w:t>种羊场风电场</w:t>
            </w:r>
          </w:p>
        </w:tc>
        <w:tc>
          <w:tcPr>
            <w:tcW w:w="1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color w:val="000000"/>
                <w:sz w:val="24"/>
                <w:szCs w:val="24"/>
              </w:rPr>
            </w:pPr>
            <w:r>
              <w:rPr>
                <w:rFonts w:hint="eastAsia" w:ascii="仿宋" w:hAnsi="仿宋" w:eastAsia="仿宋"/>
                <w:color w:val="000000"/>
                <w:sz w:val="24"/>
                <w:szCs w:val="24"/>
              </w:rPr>
              <w:t>124</w:t>
            </w:r>
          </w:p>
        </w:tc>
        <w:tc>
          <w:tcPr>
            <w:tcW w:w="195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color w:val="000000"/>
                <w:sz w:val="24"/>
                <w:szCs w:val="24"/>
              </w:rPr>
            </w:pPr>
            <w:r>
              <w:rPr>
                <w:rFonts w:hint="eastAsia" w:ascii="仿宋" w:hAnsi="仿宋" w:eastAsia="仿宋"/>
                <w:color w:val="000000"/>
                <w:sz w:val="24"/>
                <w:szCs w:val="24"/>
              </w:rPr>
              <w:t>80</w:t>
            </w:r>
          </w:p>
        </w:tc>
        <w:tc>
          <w:tcPr>
            <w:tcW w:w="12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color w:val="000000"/>
                <w:sz w:val="24"/>
                <w:szCs w:val="24"/>
              </w:rPr>
            </w:pPr>
            <w:r>
              <w:rPr>
                <w:rFonts w:hint="eastAsia" w:ascii="仿宋" w:hAnsi="仿宋" w:eastAsia="仿宋"/>
                <w:color w:val="000000"/>
                <w:sz w:val="24"/>
                <w:szCs w:val="24"/>
              </w:rPr>
              <w:t>400</w:t>
            </w:r>
          </w:p>
        </w:tc>
      </w:tr>
      <w:tr>
        <w:trPr>
          <w:trHeight w:val="539" w:hRule="atLeast"/>
        </w:trPr>
        <w:tc>
          <w:tcPr>
            <w:tcW w:w="118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rPr>
            </w:pPr>
          </w:p>
        </w:tc>
        <w:tc>
          <w:tcPr>
            <w:tcW w:w="12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p>
        </w:tc>
        <w:tc>
          <w:tcPr>
            <w:tcW w:w="1903" w:type="dxa"/>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Times New Roman" w:hAnsi="Times New Roman"/>
                <w:sz w:val="24"/>
                <w:szCs w:val="24"/>
              </w:rPr>
            </w:pPr>
            <w:r>
              <w:rPr>
                <w:rFonts w:hint="eastAsia" w:ascii="仿宋" w:hAnsi="仿宋" w:eastAsia="仿宋" w:cs="仿宋"/>
                <w:color w:val="000000"/>
                <w:sz w:val="24"/>
                <w:szCs w:val="24"/>
              </w:rPr>
              <w:t>双龙风电场</w:t>
            </w:r>
          </w:p>
        </w:tc>
        <w:tc>
          <w:tcPr>
            <w:tcW w:w="120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color w:val="000000"/>
                <w:sz w:val="24"/>
                <w:szCs w:val="24"/>
              </w:rPr>
            </w:pPr>
            <w:r>
              <w:rPr>
                <w:rFonts w:hint="eastAsia" w:ascii="仿宋" w:hAnsi="仿宋" w:eastAsia="仿宋"/>
                <w:color w:val="000000"/>
                <w:sz w:val="24"/>
                <w:szCs w:val="24"/>
              </w:rPr>
              <w:t>16</w:t>
            </w:r>
          </w:p>
        </w:tc>
        <w:tc>
          <w:tcPr>
            <w:tcW w:w="1954"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color w:val="000000"/>
                <w:sz w:val="24"/>
                <w:szCs w:val="24"/>
              </w:rPr>
            </w:pPr>
            <w:r>
              <w:rPr>
                <w:rFonts w:ascii="仿宋" w:hAnsi="仿宋" w:eastAsia="仿宋"/>
                <w:color w:val="000000"/>
                <w:sz w:val="24"/>
                <w:szCs w:val="24"/>
              </w:rPr>
              <w:t>10</w:t>
            </w:r>
          </w:p>
        </w:tc>
        <w:tc>
          <w:tcPr>
            <w:tcW w:w="1268"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color w:val="000000"/>
                <w:sz w:val="24"/>
                <w:szCs w:val="24"/>
              </w:rPr>
            </w:pPr>
            <w:r>
              <w:rPr>
                <w:rFonts w:hint="eastAsia" w:ascii="仿宋" w:hAnsi="仿宋" w:eastAsia="仿宋"/>
                <w:color w:val="000000"/>
                <w:sz w:val="24"/>
                <w:szCs w:val="24"/>
              </w:rPr>
              <w:t>50</w:t>
            </w:r>
          </w:p>
        </w:tc>
      </w:tr>
      <w:tr>
        <w:tblPrEx>
          <w:tblCellMar>
            <w:top w:w="0" w:type="dxa"/>
            <w:left w:w="108" w:type="dxa"/>
            <w:bottom w:w="0" w:type="dxa"/>
            <w:right w:w="108" w:type="dxa"/>
          </w:tblCellMar>
        </w:tblPrEx>
        <w:trPr>
          <w:trHeight w:val="539" w:hRule="atLeast"/>
        </w:trPr>
        <w:tc>
          <w:tcPr>
            <w:tcW w:w="118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rPr>
            </w:pPr>
          </w:p>
        </w:tc>
        <w:tc>
          <w:tcPr>
            <w:tcW w:w="12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p>
        </w:tc>
        <w:tc>
          <w:tcPr>
            <w:tcW w:w="1903" w:type="dxa"/>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Times New Roman" w:hAnsi="Times New Roman"/>
                <w:sz w:val="24"/>
                <w:szCs w:val="24"/>
              </w:rPr>
            </w:pPr>
            <w:r>
              <w:rPr>
                <w:rFonts w:hint="eastAsia" w:ascii="仿宋" w:hAnsi="仿宋" w:eastAsia="仿宋" w:cs="仿宋"/>
                <w:color w:val="000000"/>
                <w:sz w:val="24"/>
                <w:szCs w:val="24"/>
              </w:rPr>
              <w:t>六家子风电场</w:t>
            </w:r>
          </w:p>
        </w:tc>
        <w:tc>
          <w:tcPr>
            <w:tcW w:w="120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color w:val="000000"/>
                <w:sz w:val="24"/>
                <w:szCs w:val="24"/>
              </w:rPr>
            </w:pPr>
            <w:r>
              <w:rPr>
                <w:rFonts w:hint="eastAsia" w:ascii="仿宋" w:hAnsi="仿宋" w:eastAsia="仿宋"/>
                <w:color w:val="000000"/>
                <w:sz w:val="24"/>
                <w:szCs w:val="24"/>
              </w:rPr>
              <w:t>14</w:t>
            </w:r>
          </w:p>
        </w:tc>
        <w:tc>
          <w:tcPr>
            <w:tcW w:w="1954"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color w:val="000000"/>
                <w:sz w:val="24"/>
                <w:szCs w:val="24"/>
              </w:rPr>
            </w:pPr>
            <w:r>
              <w:rPr>
                <w:rFonts w:ascii="仿宋" w:hAnsi="仿宋" w:eastAsia="仿宋"/>
                <w:color w:val="000000"/>
                <w:sz w:val="24"/>
                <w:szCs w:val="24"/>
              </w:rPr>
              <w:t>10</w:t>
            </w:r>
          </w:p>
        </w:tc>
        <w:tc>
          <w:tcPr>
            <w:tcW w:w="1268"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color w:val="000000"/>
                <w:sz w:val="24"/>
                <w:szCs w:val="24"/>
              </w:rPr>
            </w:pPr>
            <w:r>
              <w:rPr>
                <w:rFonts w:hint="eastAsia" w:ascii="仿宋" w:hAnsi="仿宋" w:eastAsia="仿宋"/>
                <w:color w:val="000000"/>
                <w:sz w:val="24"/>
                <w:szCs w:val="24"/>
              </w:rPr>
              <w:t>50</w:t>
            </w:r>
          </w:p>
        </w:tc>
      </w:tr>
      <w:tr>
        <w:trPr>
          <w:trHeight w:val="539" w:hRule="atLeast"/>
        </w:trPr>
        <w:tc>
          <w:tcPr>
            <w:tcW w:w="1183"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rPr>
            </w:pPr>
            <w:r>
              <w:rPr>
                <w:rFonts w:hint="eastAsia"/>
                <w:sz w:val="28"/>
                <w:szCs w:val="28"/>
              </w:rPr>
              <w:t>20-30</w:t>
            </w:r>
          </w:p>
        </w:tc>
        <w:tc>
          <w:tcPr>
            <w:tcW w:w="1272"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r>
              <w:rPr>
                <w:rFonts w:ascii="Times New Roman" w:hAnsi="Times New Roman"/>
                <w:kern w:val="0"/>
                <w:sz w:val="24"/>
                <w:szCs w:val="24"/>
              </w:rPr>
              <w:t>洮北区</w:t>
            </w:r>
          </w:p>
        </w:tc>
        <w:tc>
          <w:tcPr>
            <w:tcW w:w="1903" w:type="dxa"/>
            <w:tcBorders>
              <w:top w:val="nil"/>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Times New Roman" w:hAnsi="Times New Roman"/>
                <w:sz w:val="24"/>
                <w:szCs w:val="24"/>
              </w:rPr>
            </w:pPr>
            <w:r>
              <w:rPr>
                <w:rFonts w:hint="eastAsia" w:ascii="仿宋" w:hAnsi="仿宋" w:eastAsia="仿宋" w:cs="仿宋"/>
                <w:color w:val="000000"/>
                <w:sz w:val="24"/>
                <w:szCs w:val="24"/>
              </w:rPr>
              <w:t>双嫩风电场</w:t>
            </w:r>
          </w:p>
        </w:tc>
        <w:tc>
          <w:tcPr>
            <w:tcW w:w="1204" w:type="dxa"/>
            <w:gridSpan w:val="2"/>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cs="宋体"/>
                <w:color w:val="000000"/>
                <w:sz w:val="24"/>
                <w:szCs w:val="24"/>
              </w:rPr>
            </w:pPr>
            <w:r>
              <w:rPr>
                <w:rFonts w:hint="eastAsia" w:ascii="仿宋" w:hAnsi="仿宋" w:eastAsia="仿宋"/>
                <w:color w:val="000000"/>
                <w:sz w:val="24"/>
                <w:szCs w:val="24"/>
              </w:rPr>
              <w:t>16</w:t>
            </w:r>
          </w:p>
        </w:tc>
        <w:tc>
          <w:tcPr>
            <w:tcW w:w="1953" w:type="dxa"/>
            <w:gridSpan w:val="2"/>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Times New Roman" w:hAnsi="Times New Roman"/>
                <w:color w:val="000000"/>
                <w:sz w:val="24"/>
                <w:szCs w:val="24"/>
              </w:rPr>
            </w:pPr>
            <w:r>
              <w:rPr>
                <w:rFonts w:ascii="Times New Roman" w:hAnsi="Times New Roman"/>
                <w:color w:val="000000"/>
                <w:sz w:val="24"/>
                <w:szCs w:val="24"/>
              </w:rPr>
              <w:t>10</w:t>
            </w:r>
          </w:p>
        </w:tc>
        <w:tc>
          <w:tcPr>
            <w:tcW w:w="1268" w:type="dxa"/>
            <w:gridSpan w:val="2"/>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cs="宋体"/>
                <w:color w:val="000000"/>
                <w:sz w:val="24"/>
                <w:szCs w:val="24"/>
              </w:rPr>
            </w:pPr>
            <w:r>
              <w:rPr>
                <w:rFonts w:hint="eastAsia" w:ascii="仿宋" w:hAnsi="仿宋" w:eastAsia="仿宋"/>
                <w:color w:val="000000"/>
                <w:sz w:val="24"/>
                <w:szCs w:val="24"/>
              </w:rPr>
              <w:t>50</w:t>
            </w:r>
          </w:p>
        </w:tc>
      </w:tr>
      <w:tr>
        <w:tblPrEx>
          <w:tblCellMar>
            <w:top w:w="0" w:type="dxa"/>
            <w:left w:w="108" w:type="dxa"/>
            <w:bottom w:w="0" w:type="dxa"/>
            <w:right w:w="108" w:type="dxa"/>
          </w:tblCellMar>
        </w:tblPrEx>
        <w:trPr>
          <w:trHeight w:val="539" w:hRule="atLeast"/>
        </w:trPr>
        <w:tc>
          <w:tcPr>
            <w:tcW w:w="118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rPr>
            </w:pPr>
          </w:p>
        </w:tc>
        <w:tc>
          <w:tcPr>
            <w:tcW w:w="127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p>
        </w:tc>
        <w:tc>
          <w:tcPr>
            <w:tcW w:w="1903" w:type="dxa"/>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Times New Roman" w:hAnsi="Times New Roman"/>
                <w:sz w:val="24"/>
                <w:szCs w:val="24"/>
              </w:rPr>
            </w:pPr>
            <w:r>
              <w:rPr>
                <w:rFonts w:hint="eastAsia" w:ascii="仿宋" w:hAnsi="仿宋" w:eastAsia="仿宋" w:cs="仿宋"/>
                <w:color w:val="000000"/>
                <w:sz w:val="24"/>
                <w:szCs w:val="24"/>
              </w:rPr>
              <w:t>车力风电场</w:t>
            </w:r>
          </w:p>
        </w:tc>
        <w:tc>
          <w:tcPr>
            <w:tcW w:w="1204"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cs="宋体"/>
                <w:color w:val="000000"/>
                <w:sz w:val="24"/>
                <w:szCs w:val="24"/>
              </w:rPr>
            </w:pPr>
            <w:r>
              <w:rPr>
                <w:rFonts w:hint="eastAsia" w:ascii="仿宋" w:hAnsi="仿宋" w:eastAsia="仿宋"/>
                <w:color w:val="000000"/>
                <w:sz w:val="24"/>
                <w:szCs w:val="24"/>
              </w:rPr>
              <w:t>17</w:t>
            </w:r>
          </w:p>
        </w:tc>
        <w:tc>
          <w:tcPr>
            <w:tcW w:w="195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Times New Roman" w:hAnsi="Times New Roman"/>
                <w:color w:val="000000"/>
                <w:sz w:val="24"/>
                <w:szCs w:val="24"/>
              </w:rPr>
            </w:pPr>
            <w:r>
              <w:rPr>
                <w:rFonts w:ascii="Times New Roman" w:hAnsi="Times New Roman"/>
                <w:color w:val="000000"/>
                <w:sz w:val="24"/>
                <w:szCs w:val="24"/>
              </w:rPr>
              <w:t>10</w:t>
            </w:r>
          </w:p>
        </w:tc>
        <w:tc>
          <w:tcPr>
            <w:tcW w:w="1268"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cs="宋体"/>
                <w:color w:val="000000"/>
                <w:sz w:val="24"/>
                <w:szCs w:val="24"/>
              </w:rPr>
            </w:pPr>
            <w:r>
              <w:rPr>
                <w:rFonts w:hint="eastAsia" w:ascii="仿宋" w:hAnsi="仿宋" w:eastAsia="仿宋"/>
                <w:color w:val="000000"/>
                <w:sz w:val="24"/>
                <w:szCs w:val="24"/>
              </w:rPr>
              <w:t>50</w:t>
            </w:r>
          </w:p>
        </w:tc>
      </w:tr>
      <w:tr>
        <w:trPr>
          <w:trHeight w:val="539" w:hRule="atLeast"/>
        </w:trPr>
        <w:tc>
          <w:tcPr>
            <w:tcW w:w="118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rPr>
            </w:pPr>
          </w:p>
        </w:tc>
        <w:tc>
          <w:tcPr>
            <w:tcW w:w="127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p>
        </w:tc>
        <w:tc>
          <w:tcPr>
            <w:tcW w:w="1903" w:type="dxa"/>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古城风电场</w:t>
            </w:r>
          </w:p>
        </w:tc>
        <w:tc>
          <w:tcPr>
            <w:tcW w:w="1204" w:type="dxa"/>
            <w:gridSpan w:val="2"/>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17</w:t>
            </w:r>
          </w:p>
        </w:tc>
        <w:tc>
          <w:tcPr>
            <w:tcW w:w="1953" w:type="dxa"/>
            <w:gridSpan w:val="2"/>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ascii="仿宋" w:hAnsi="仿宋" w:eastAsia="仿宋" w:cs="仿宋"/>
                <w:color w:val="000000"/>
                <w:sz w:val="24"/>
                <w:szCs w:val="24"/>
              </w:rPr>
              <w:t>10</w:t>
            </w:r>
          </w:p>
        </w:tc>
        <w:tc>
          <w:tcPr>
            <w:tcW w:w="1268" w:type="dxa"/>
            <w:gridSpan w:val="2"/>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50</w:t>
            </w:r>
          </w:p>
        </w:tc>
      </w:tr>
      <w:tr>
        <w:tblPrEx>
          <w:tblCellMar>
            <w:top w:w="0" w:type="dxa"/>
            <w:left w:w="108" w:type="dxa"/>
            <w:bottom w:w="0" w:type="dxa"/>
            <w:right w:w="108" w:type="dxa"/>
          </w:tblCellMar>
        </w:tblPrEx>
        <w:trPr>
          <w:trHeight w:val="539" w:hRule="atLeast"/>
        </w:trPr>
        <w:tc>
          <w:tcPr>
            <w:tcW w:w="118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rPr>
            </w:pPr>
          </w:p>
        </w:tc>
        <w:tc>
          <w:tcPr>
            <w:tcW w:w="1272"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r>
              <w:rPr>
                <w:rFonts w:hint="eastAsia" w:ascii="Times New Roman" w:hAnsi="Times New Roman"/>
                <w:kern w:val="0"/>
                <w:sz w:val="24"/>
                <w:szCs w:val="24"/>
              </w:rPr>
              <w:t>镇赉县</w:t>
            </w:r>
          </w:p>
        </w:tc>
        <w:tc>
          <w:tcPr>
            <w:tcW w:w="1903" w:type="dxa"/>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架其</w:t>
            </w:r>
            <w:r>
              <w:rPr>
                <w:rFonts w:ascii="仿宋" w:hAnsi="仿宋" w:eastAsia="仿宋" w:cs="仿宋"/>
                <w:color w:val="000000"/>
                <w:sz w:val="24"/>
                <w:szCs w:val="24"/>
              </w:rPr>
              <w:t>风光场</w:t>
            </w:r>
          </w:p>
        </w:tc>
        <w:tc>
          <w:tcPr>
            <w:tcW w:w="1204" w:type="dxa"/>
            <w:gridSpan w:val="2"/>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ascii="仿宋" w:hAnsi="仿宋" w:eastAsia="仿宋" w:cs="仿宋"/>
                <w:color w:val="000000"/>
                <w:sz w:val="24"/>
                <w:szCs w:val="24"/>
              </w:rPr>
              <w:t>68</w:t>
            </w:r>
          </w:p>
        </w:tc>
        <w:tc>
          <w:tcPr>
            <w:tcW w:w="1953" w:type="dxa"/>
            <w:gridSpan w:val="2"/>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ascii="仿宋" w:hAnsi="仿宋" w:eastAsia="仿宋" w:cs="仿宋"/>
                <w:color w:val="000000"/>
                <w:sz w:val="24"/>
                <w:szCs w:val="24"/>
              </w:rPr>
              <w:t>40</w:t>
            </w:r>
          </w:p>
        </w:tc>
        <w:tc>
          <w:tcPr>
            <w:tcW w:w="1268" w:type="dxa"/>
            <w:gridSpan w:val="2"/>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2</w:t>
            </w:r>
            <w:r>
              <w:rPr>
                <w:rFonts w:ascii="仿宋" w:hAnsi="仿宋" w:eastAsia="仿宋" w:cs="仿宋"/>
                <w:color w:val="000000"/>
                <w:sz w:val="24"/>
                <w:szCs w:val="24"/>
              </w:rPr>
              <w:t>0</w:t>
            </w:r>
            <w:r>
              <w:rPr>
                <w:rFonts w:hint="eastAsia" w:ascii="仿宋" w:hAnsi="仿宋" w:eastAsia="仿宋" w:cs="仿宋"/>
                <w:color w:val="000000"/>
                <w:sz w:val="24"/>
                <w:szCs w:val="24"/>
              </w:rPr>
              <w:t>0</w:t>
            </w:r>
          </w:p>
        </w:tc>
      </w:tr>
      <w:tr>
        <w:trPr>
          <w:trHeight w:val="539" w:hRule="atLeast"/>
        </w:trPr>
        <w:tc>
          <w:tcPr>
            <w:tcW w:w="118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lang w:val="en-US" w:eastAsia="zh-CN"/>
              </w:rPr>
            </w:pPr>
            <w:r>
              <w:rPr>
                <w:rFonts w:hint="eastAsia"/>
                <w:sz w:val="28"/>
                <w:szCs w:val="28"/>
              </w:rPr>
              <w:t>30-50</w:t>
            </w:r>
          </w:p>
        </w:tc>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b/>
                <w:bCs/>
                <w:kern w:val="0"/>
                <w:sz w:val="24"/>
                <w:szCs w:val="24"/>
              </w:rPr>
            </w:pPr>
            <w:r>
              <w:rPr>
                <w:rFonts w:hint="eastAsia" w:ascii="Times New Roman" w:hAnsi="Times New Roman"/>
                <w:kern w:val="0"/>
                <w:sz w:val="24"/>
                <w:szCs w:val="24"/>
              </w:rPr>
              <w:t>洮北区</w:t>
            </w:r>
          </w:p>
        </w:tc>
        <w:tc>
          <w:tcPr>
            <w:tcW w:w="19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hint="eastAsia" w:ascii="仿宋" w:hAnsi="仿宋" w:eastAsia="仿宋"/>
                <w:color w:val="000000"/>
                <w:sz w:val="24"/>
                <w:szCs w:val="24"/>
              </w:rPr>
            </w:pPr>
            <w:r>
              <w:rPr>
                <w:rFonts w:hint="eastAsia" w:ascii="仿宋" w:hAnsi="仿宋" w:eastAsia="仿宋"/>
                <w:color w:val="000000"/>
                <w:sz w:val="24"/>
                <w:szCs w:val="24"/>
              </w:rPr>
              <w:t>洮北</w:t>
            </w:r>
            <w:r>
              <w:rPr>
                <w:rFonts w:ascii="仿宋" w:hAnsi="仿宋" w:eastAsia="仿宋"/>
                <w:color w:val="000000"/>
                <w:sz w:val="24"/>
                <w:szCs w:val="24"/>
              </w:rPr>
              <w:t>风电场</w:t>
            </w:r>
          </w:p>
        </w:tc>
        <w:tc>
          <w:tcPr>
            <w:tcW w:w="1203" w:type="dxa"/>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color w:val="000000"/>
                <w:sz w:val="24"/>
                <w:szCs w:val="24"/>
              </w:rPr>
            </w:pPr>
            <w:r>
              <w:rPr>
                <w:rFonts w:ascii="仿宋" w:hAnsi="仿宋" w:eastAsia="仿宋"/>
                <w:color w:val="000000"/>
                <w:sz w:val="24"/>
                <w:szCs w:val="24"/>
              </w:rPr>
              <w:t>12</w:t>
            </w:r>
          </w:p>
        </w:tc>
        <w:tc>
          <w:tcPr>
            <w:tcW w:w="1954" w:type="dxa"/>
            <w:gridSpan w:val="3"/>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color w:val="000000"/>
                <w:sz w:val="24"/>
                <w:szCs w:val="24"/>
              </w:rPr>
            </w:pPr>
            <w:r>
              <w:rPr>
                <w:rFonts w:ascii="仿宋" w:hAnsi="仿宋" w:eastAsia="仿宋"/>
                <w:color w:val="000000"/>
                <w:sz w:val="24"/>
                <w:szCs w:val="24"/>
              </w:rPr>
              <w:t>10</w:t>
            </w:r>
          </w:p>
        </w:tc>
        <w:tc>
          <w:tcPr>
            <w:tcW w:w="1268" w:type="dxa"/>
            <w:gridSpan w:val="2"/>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hint="eastAsia" w:ascii="仿宋" w:hAnsi="仿宋" w:eastAsia="仿宋"/>
                <w:color w:val="000000"/>
                <w:sz w:val="24"/>
                <w:szCs w:val="24"/>
              </w:rPr>
            </w:pPr>
            <w:r>
              <w:rPr>
                <w:rFonts w:hint="eastAsia" w:ascii="仿宋" w:hAnsi="仿宋" w:eastAsia="仿宋"/>
                <w:color w:val="000000"/>
                <w:sz w:val="24"/>
                <w:szCs w:val="24"/>
              </w:rPr>
              <w:t>50</w:t>
            </w:r>
          </w:p>
        </w:tc>
      </w:tr>
      <w:tr>
        <w:tblPrEx>
          <w:tblCellMar>
            <w:top w:w="0" w:type="dxa"/>
            <w:left w:w="108" w:type="dxa"/>
            <w:bottom w:w="0" w:type="dxa"/>
            <w:right w:w="108" w:type="dxa"/>
          </w:tblCellMar>
        </w:tblPrEx>
        <w:trPr>
          <w:trHeight w:val="539" w:hRule="atLeast"/>
        </w:trPr>
        <w:tc>
          <w:tcPr>
            <w:tcW w:w="118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rPr>
            </w:pPr>
          </w:p>
        </w:tc>
        <w:tc>
          <w:tcPr>
            <w:tcW w:w="127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r>
              <w:rPr>
                <w:rFonts w:hint="eastAsia" w:ascii="Times New Roman" w:hAnsi="Times New Roman"/>
                <w:kern w:val="0"/>
                <w:sz w:val="24"/>
                <w:szCs w:val="24"/>
              </w:rPr>
              <w:t>镇赉县</w:t>
            </w:r>
          </w:p>
        </w:tc>
        <w:tc>
          <w:tcPr>
            <w:tcW w:w="1903" w:type="dxa"/>
            <w:tcBorders>
              <w:top w:val="nil"/>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大岗风电场</w:t>
            </w:r>
          </w:p>
        </w:tc>
        <w:tc>
          <w:tcPr>
            <w:tcW w:w="12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仿宋" w:hAnsi="仿宋" w:eastAsia="仿宋"/>
                <w:color w:val="000000"/>
                <w:sz w:val="24"/>
                <w:szCs w:val="24"/>
              </w:rPr>
            </w:pPr>
            <w:r>
              <w:rPr>
                <w:rFonts w:hint="eastAsia" w:ascii="仿宋" w:hAnsi="仿宋" w:eastAsia="仿宋"/>
                <w:color w:val="000000"/>
                <w:sz w:val="24"/>
                <w:szCs w:val="24"/>
              </w:rPr>
              <w:t>35</w:t>
            </w:r>
          </w:p>
        </w:tc>
        <w:tc>
          <w:tcPr>
            <w:tcW w:w="1954" w:type="dxa"/>
            <w:gridSpan w:val="3"/>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color w:val="000000"/>
                <w:sz w:val="24"/>
                <w:szCs w:val="24"/>
              </w:rPr>
            </w:pPr>
            <w:r>
              <w:rPr>
                <w:rFonts w:hint="eastAsia" w:ascii="仿宋" w:hAnsi="仿宋" w:eastAsia="仿宋"/>
                <w:color w:val="000000"/>
                <w:sz w:val="24"/>
                <w:szCs w:val="24"/>
              </w:rPr>
              <w:t>30</w:t>
            </w:r>
          </w:p>
        </w:tc>
        <w:tc>
          <w:tcPr>
            <w:tcW w:w="126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仿宋" w:hAnsi="仿宋" w:eastAsia="仿宋"/>
                <w:color w:val="000000"/>
                <w:sz w:val="24"/>
                <w:szCs w:val="24"/>
              </w:rPr>
            </w:pPr>
            <w:r>
              <w:rPr>
                <w:rFonts w:hint="eastAsia" w:ascii="仿宋" w:hAnsi="仿宋" w:eastAsia="仿宋"/>
                <w:color w:val="000000"/>
                <w:sz w:val="24"/>
                <w:szCs w:val="24"/>
              </w:rPr>
              <w:t>150</w:t>
            </w:r>
          </w:p>
        </w:tc>
      </w:tr>
      <w:tr>
        <w:trPr>
          <w:trHeight w:val="539" w:hRule="atLeast"/>
        </w:trPr>
        <w:tc>
          <w:tcPr>
            <w:tcW w:w="118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rPr>
            </w:pPr>
          </w:p>
        </w:tc>
        <w:tc>
          <w:tcPr>
            <w:tcW w:w="12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p>
        </w:tc>
        <w:tc>
          <w:tcPr>
            <w:tcW w:w="1903" w:type="dxa"/>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大围子风电场</w:t>
            </w:r>
          </w:p>
        </w:tc>
        <w:tc>
          <w:tcPr>
            <w:tcW w:w="120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color w:val="000000"/>
                <w:sz w:val="24"/>
                <w:szCs w:val="24"/>
              </w:rPr>
            </w:pPr>
            <w:r>
              <w:rPr>
                <w:rFonts w:hint="eastAsia" w:ascii="仿宋" w:hAnsi="仿宋" w:eastAsia="仿宋"/>
                <w:color w:val="000000"/>
                <w:sz w:val="24"/>
                <w:szCs w:val="24"/>
              </w:rPr>
              <w:t>49</w:t>
            </w:r>
          </w:p>
        </w:tc>
        <w:tc>
          <w:tcPr>
            <w:tcW w:w="1954"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color w:val="000000"/>
                <w:sz w:val="24"/>
                <w:szCs w:val="24"/>
              </w:rPr>
            </w:pPr>
            <w:r>
              <w:rPr>
                <w:rFonts w:hint="eastAsia" w:ascii="仿宋" w:hAnsi="仿宋" w:eastAsia="仿宋"/>
                <w:color w:val="000000"/>
                <w:sz w:val="24"/>
                <w:szCs w:val="24"/>
              </w:rPr>
              <w:t>40</w:t>
            </w:r>
          </w:p>
        </w:tc>
        <w:tc>
          <w:tcPr>
            <w:tcW w:w="1268"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color w:val="000000"/>
                <w:sz w:val="24"/>
                <w:szCs w:val="24"/>
              </w:rPr>
            </w:pPr>
            <w:r>
              <w:rPr>
                <w:rFonts w:hint="eastAsia" w:ascii="仿宋" w:hAnsi="仿宋" w:eastAsia="仿宋"/>
                <w:color w:val="000000"/>
                <w:sz w:val="24"/>
                <w:szCs w:val="24"/>
              </w:rPr>
              <w:t>200</w:t>
            </w:r>
          </w:p>
        </w:tc>
      </w:tr>
      <w:tr>
        <w:tblPrEx>
          <w:tblCellMar>
            <w:top w:w="0" w:type="dxa"/>
            <w:left w:w="108" w:type="dxa"/>
            <w:bottom w:w="0" w:type="dxa"/>
            <w:right w:w="108" w:type="dxa"/>
          </w:tblCellMar>
        </w:tblPrEx>
        <w:trPr>
          <w:trHeight w:val="539" w:hRule="atLeast"/>
        </w:trPr>
        <w:tc>
          <w:tcPr>
            <w:tcW w:w="118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rPr>
            </w:pPr>
          </w:p>
        </w:tc>
        <w:tc>
          <w:tcPr>
            <w:tcW w:w="12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p>
        </w:tc>
        <w:tc>
          <w:tcPr>
            <w:tcW w:w="1903" w:type="dxa"/>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哈拉风电场</w:t>
            </w:r>
          </w:p>
        </w:tc>
        <w:tc>
          <w:tcPr>
            <w:tcW w:w="120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color w:val="000000"/>
                <w:sz w:val="24"/>
                <w:szCs w:val="24"/>
              </w:rPr>
            </w:pPr>
            <w:r>
              <w:rPr>
                <w:rFonts w:hint="eastAsia" w:ascii="仿宋" w:hAnsi="仿宋" w:eastAsia="仿宋"/>
                <w:color w:val="000000"/>
                <w:sz w:val="24"/>
                <w:szCs w:val="24"/>
              </w:rPr>
              <w:t>38</w:t>
            </w:r>
          </w:p>
        </w:tc>
        <w:tc>
          <w:tcPr>
            <w:tcW w:w="1954"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color w:val="000000"/>
                <w:sz w:val="24"/>
                <w:szCs w:val="24"/>
              </w:rPr>
            </w:pPr>
            <w:r>
              <w:rPr>
                <w:rFonts w:hint="eastAsia" w:ascii="仿宋" w:hAnsi="仿宋" w:eastAsia="仿宋"/>
                <w:color w:val="000000"/>
                <w:sz w:val="24"/>
                <w:szCs w:val="24"/>
              </w:rPr>
              <w:t>30</w:t>
            </w:r>
          </w:p>
        </w:tc>
        <w:tc>
          <w:tcPr>
            <w:tcW w:w="1268"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color w:val="000000"/>
                <w:sz w:val="24"/>
                <w:szCs w:val="24"/>
              </w:rPr>
            </w:pPr>
            <w:r>
              <w:rPr>
                <w:rFonts w:hint="eastAsia" w:ascii="仿宋" w:hAnsi="仿宋" w:eastAsia="仿宋"/>
                <w:color w:val="000000"/>
                <w:sz w:val="24"/>
                <w:szCs w:val="24"/>
              </w:rPr>
              <w:t>150</w:t>
            </w:r>
          </w:p>
        </w:tc>
      </w:tr>
      <w:tr>
        <w:trPr>
          <w:trHeight w:val="539" w:hRule="atLeast"/>
        </w:trPr>
        <w:tc>
          <w:tcPr>
            <w:tcW w:w="118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rPr>
            </w:pPr>
          </w:p>
        </w:tc>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r>
              <w:rPr>
                <w:rFonts w:hint="eastAsia" w:ascii="Times New Roman" w:hAnsi="Times New Roman"/>
                <w:kern w:val="0"/>
                <w:sz w:val="24"/>
                <w:szCs w:val="24"/>
              </w:rPr>
              <w:t>大安市</w:t>
            </w:r>
          </w:p>
        </w:tc>
        <w:tc>
          <w:tcPr>
            <w:tcW w:w="1903" w:type="dxa"/>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叉干镇风电场</w:t>
            </w:r>
          </w:p>
        </w:tc>
        <w:tc>
          <w:tcPr>
            <w:tcW w:w="120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color w:val="000000"/>
                <w:sz w:val="24"/>
                <w:szCs w:val="24"/>
              </w:rPr>
            </w:pPr>
            <w:r>
              <w:rPr>
                <w:rFonts w:hint="eastAsia" w:ascii="仿宋" w:hAnsi="仿宋" w:eastAsia="仿宋"/>
                <w:color w:val="000000"/>
                <w:sz w:val="24"/>
                <w:szCs w:val="24"/>
              </w:rPr>
              <w:t>160</w:t>
            </w:r>
          </w:p>
        </w:tc>
        <w:tc>
          <w:tcPr>
            <w:tcW w:w="1954"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color w:val="000000"/>
                <w:sz w:val="24"/>
                <w:szCs w:val="24"/>
              </w:rPr>
            </w:pPr>
            <w:r>
              <w:rPr>
                <w:rFonts w:hint="eastAsia" w:ascii="仿宋" w:hAnsi="仿宋" w:eastAsia="仿宋"/>
                <w:color w:val="000000"/>
                <w:sz w:val="24"/>
                <w:szCs w:val="24"/>
              </w:rPr>
              <w:t>100</w:t>
            </w:r>
          </w:p>
        </w:tc>
        <w:tc>
          <w:tcPr>
            <w:tcW w:w="1268"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color w:val="000000"/>
                <w:sz w:val="24"/>
                <w:szCs w:val="24"/>
              </w:rPr>
            </w:pPr>
            <w:r>
              <w:rPr>
                <w:rFonts w:hint="eastAsia" w:ascii="仿宋" w:hAnsi="仿宋" w:eastAsia="仿宋"/>
                <w:color w:val="000000"/>
                <w:sz w:val="24"/>
                <w:szCs w:val="24"/>
              </w:rPr>
              <w:t>500</w:t>
            </w:r>
          </w:p>
        </w:tc>
      </w:tr>
      <w:tr>
        <w:tblPrEx>
          <w:tblCellMar>
            <w:top w:w="0" w:type="dxa"/>
            <w:left w:w="108" w:type="dxa"/>
            <w:bottom w:w="0" w:type="dxa"/>
            <w:right w:w="108" w:type="dxa"/>
          </w:tblCellMar>
        </w:tblPrEx>
        <w:trPr>
          <w:trHeight w:val="539" w:hRule="atLeast"/>
        </w:trPr>
        <w:tc>
          <w:tcPr>
            <w:tcW w:w="118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lang w:val="en-US" w:eastAsia="zh-CN"/>
              </w:rPr>
            </w:pPr>
          </w:p>
        </w:tc>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r>
              <w:rPr>
                <w:rFonts w:hint="eastAsia" w:ascii="Times New Roman" w:hAnsi="Times New Roman"/>
                <w:kern w:val="0"/>
                <w:sz w:val="24"/>
                <w:szCs w:val="24"/>
              </w:rPr>
              <w:t>洮南市</w:t>
            </w:r>
          </w:p>
        </w:tc>
        <w:tc>
          <w:tcPr>
            <w:tcW w:w="1903" w:type="dxa"/>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蛟流河风电场</w:t>
            </w:r>
          </w:p>
        </w:tc>
        <w:tc>
          <w:tcPr>
            <w:tcW w:w="120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color w:val="000000"/>
                <w:sz w:val="24"/>
                <w:szCs w:val="24"/>
              </w:rPr>
            </w:pPr>
            <w:r>
              <w:rPr>
                <w:rFonts w:hint="eastAsia" w:ascii="仿宋" w:hAnsi="仿宋" w:eastAsia="仿宋"/>
                <w:color w:val="000000"/>
                <w:sz w:val="24"/>
                <w:szCs w:val="24"/>
              </w:rPr>
              <w:t>29</w:t>
            </w:r>
          </w:p>
        </w:tc>
        <w:tc>
          <w:tcPr>
            <w:tcW w:w="1954"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color w:val="000000"/>
                <w:sz w:val="24"/>
                <w:szCs w:val="24"/>
              </w:rPr>
            </w:pPr>
            <w:r>
              <w:rPr>
                <w:rFonts w:hint="eastAsia" w:ascii="仿宋" w:hAnsi="仿宋" w:eastAsia="仿宋"/>
                <w:color w:val="000000"/>
                <w:sz w:val="24"/>
                <w:szCs w:val="24"/>
              </w:rPr>
              <w:t>20</w:t>
            </w:r>
          </w:p>
        </w:tc>
        <w:tc>
          <w:tcPr>
            <w:tcW w:w="1268"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color w:val="000000"/>
                <w:sz w:val="24"/>
                <w:szCs w:val="24"/>
              </w:rPr>
            </w:pPr>
            <w:r>
              <w:rPr>
                <w:rFonts w:hint="eastAsia" w:ascii="仿宋" w:hAnsi="仿宋" w:eastAsia="仿宋"/>
                <w:color w:val="000000"/>
                <w:sz w:val="24"/>
                <w:szCs w:val="24"/>
              </w:rPr>
              <w:t>100</w:t>
            </w:r>
          </w:p>
        </w:tc>
      </w:tr>
      <w:tr>
        <w:trPr>
          <w:trHeight w:val="539" w:hRule="atLeast"/>
        </w:trPr>
        <w:tc>
          <w:tcPr>
            <w:tcW w:w="118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rPr>
            </w:pPr>
            <w:r>
              <w:rPr>
                <w:rFonts w:hint="eastAsia"/>
                <w:sz w:val="28"/>
                <w:szCs w:val="28"/>
              </w:rPr>
              <w:t>50-70</w:t>
            </w:r>
          </w:p>
        </w:tc>
        <w:tc>
          <w:tcPr>
            <w:tcW w:w="127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r>
              <w:rPr>
                <w:rFonts w:hint="eastAsia" w:ascii="Times New Roman" w:hAnsi="Times New Roman"/>
                <w:kern w:val="0"/>
                <w:sz w:val="24"/>
                <w:szCs w:val="24"/>
              </w:rPr>
              <w:t>镇赉县</w:t>
            </w:r>
          </w:p>
        </w:tc>
        <w:tc>
          <w:tcPr>
            <w:tcW w:w="1903"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兴隆风电场</w:t>
            </w:r>
          </w:p>
        </w:tc>
        <w:tc>
          <w:tcPr>
            <w:tcW w:w="120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269</w:t>
            </w:r>
          </w:p>
        </w:tc>
        <w:tc>
          <w:tcPr>
            <w:tcW w:w="19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247</w:t>
            </w:r>
          </w:p>
        </w:tc>
        <w:tc>
          <w:tcPr>
            <w:tcW w:w="12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1235</w:t>
            </w:r>
          </w:p>
        </w:tc>
      </w:tr>
      <w:tr>
        <w:tblPrEx>
          <w:tblCellMar>
            <w:top w:w="0" w:type="dxa"/>
            <w:left w:w="108" w:type="dxa"/>
            <w:bottom w:w="0" w:type="dxa"/>
            <w:right w:w="108" w:type="dxa"/>
          </w:tblCellMar>
        </w:tblPrEx>
        <w:trPr>
          <w:trHeight w:val="539" w:hRule="atLeast"/>
        </w:trPr>
        <w:tc>
          <w:tcPr>
            <w:tcW w:w="11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p>
        </w:tc>
        <w:tc>
          <w:tcPr>
            <w:tcW w:w="12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p>
        </w:tc>
        <w:tc>
          <w:tcPr>
            <w:tcW w:w="1903"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英华风电场</w:t>
            </w:r>
          </w:p>
        </w:tc>
        <w:tc>
          <w:tcPr>
            <w:tcW w:w="1205" w:type="dxa"/>
            <w:gridSpan w:val="3"/>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ascii="仿宋" w:hAnsi="仿宋" w:eastAsia="仿宋" w:cs="仿宋"/>
                <w:color w:val="000000"/>
                <w:sz w:val="24"/>
                <w:szCs w:val="24"/>
              </w:rPr>
              <w:t>64</w:t>
            </w:r>
          </w:p>
        </w:tc>
        <w:tc>
          <w:tcPr>
            <w:tcW w:w="1953" w:type="dxa"/>
            <w:gridSpan w:val="2"/>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ascii="仿宋" w:hAnsi="仿宋" w:eastAsia="仿宋" w:cs="仿宋"/>
                <w:color w:val="000000"/>
                <w:sz w:val="24"/>
                <w:szCs w:val="24"/>
              </w:rPr>
              <w:t>63</w:t>
            </w:r>
          </w:p>
        </w:tc>
        <w:tc>
          <w:tcPr>
            <w:tcW w:w="1267"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320</w:t>
            </w:r>
          </w:p>
        </w:tc>
      </w:tr>
      <w:tr>
        <w:trPr>
          <w:trHeight w:val="539" w:hRule="atLeast"/>
        </w:trPr>
        <w:tc>
          <w:tcPr>
            <w:tcW w:w="11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p>
        </w:tc>
        <w:tc>
          <w:tcPr>
            <w:tcW w:w="12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p>
        </w:tc>
        <w:tc>
          <w:tcPr>
            <w:tcW w:w="1903"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东屏风电场</w:t>
            </w:r>
          </w:p>
        </w:tc>
        <w:tc>
          <w:tcPr>
            <w:tcW w:w="1205" w:type="dxa"/>
            <w:gridSpan w:val="3"/>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ascii="仿宋" w:hAnsi="仿宋" w:eastAsia="仿宋" w:cs="仿宋"/>
                <w:color w:val="000000"/>
                <w:sz w:val="24"/>
                <w:szCs w:val="24"/>
              </w:rPr>
              <w:t>17</w:t>
            </w:r>
          </w:p>
        </w:tc>
        <w:tc>
          <w:tcPr>
            <w:tcW w:w="1953" w:type="dxa"/>
            <w:gridSpan w:val="2"/>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ascii="仿宋" w:hAnsi="仿宋" w:eastAsia="仿宋" w:cs="仿宋"/>
                <w:color w:val="000000"/>
                <w:sz w:val="24"/>
                <w:szCs w:val="24"/>
              </w:rPr>
              <w:t>15</w:t>
            </w:r>
          </w:p>
        </w:tc>
        <w:tc>
          <w:tcPr>
            <w:tcW w:w="1267"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75</w:t>
            </w:r>
          </w:p>
        </w:tc>
      </w:tr>
      <w:tr>
        <w:tblPrEx>
          <w:tblCellMar>
            <w:top w:w="0" w:type="dxa"/>
            <w:left w:w="108" w:type="dxa"/>
            <w:bottom w:w="0" w:type="dxa"/>
            <w:right w:w="108" w:type="dxa"/>
          </w:tblCellMar>
        </w:tblPrEx>
        <w:trPr>
          <w:trHeight w:val="539" w:hRule="atLeast"/>
        </w:trPr>
        <w:tc>
          <w:tcPr>
            <w:tcW w:w="11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kern w:val="0"/>
                <w:sz w:val="24"/>
                <w:szCs w:val="24"/>
              </w:rPr>
            </w:pPr>
          </w:p>
        </w:tc>
        <w:tc>
          <w:tcPr>
            <w:tcW w:w="127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r>
              <w:rPr>
                <w:rFonts w:hint="eastAsia" w:ascii="Times New Roman" w:hAnsi="Times New Roman"/>
                <w:kern w:val="0"/>
                <w:sz w:val="24"/>
                <w:szCs w:val="24"/>
              </w:rPr>
              <w:t>通榆县</w:t>
            </w:r>
          </w:p>
        </w:tc>
        <w:tc>
          <w:tcPr>
            <w:tcW w:w="1903"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ascii="仿宋" w:hAnsi="仿宋" w:eastAsia="仿宋" w:cs="仿宋"/>
                <w:color w:val="000000"/>
                <w:sz w:val="24"/>
                <w:szCs w:val="24"/>
              </w:rPr>
              <w:t>四家子风电场</w:t>
            </w:r>
          </w:p>
        </w:tc>
        <w:tc>
          <w:tcPr>
            <w:tcW w:w="1205" w:type="dxa"/>
            <w:gridSpan w:val="3"/>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ascii="仿宋" w:hAnsi="仿宋" w:eastAsia="仿宋" w:cs="仿宋"/>
                <w:color w:val="000000"/>
                <w:sz w:val="24"/>
                <w:szCs w:val="24"/>
              </w:rPr>
              <w:t>136</w:t>
            </w:r>
          </w:p>
        </w:tc>
        <w:tc>
          <w:tcPr>
            <w:tcW w:w="1953" w:type="dxa"/>
            <w:gridSpan w:val="2"/>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ascii="仿宋" w:hAnsi="仿宋" w:eastAsia="仿宋" w:cs="仿宋"/>
                <w:color w:val="000000"/>
                <w:sz w:val="24"/>
                <w:szCs w:val="24"/>
              </w:rPr>
              <w:t>87</w:t>
            </w:r>
          </w:p>
        </w:tc>
        <w:tc>
          <w:tcPr>
            <w:tcW w:w="1267"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ascii="仿宋" w:hAnsi="仿宋" w:eastAsia="仿宋" w:cs="仿宋"/>
                <w:color w:val="000000"/>
                <w:sz w:val="24"/>
                <w:szCs w:val="24"/>
              </w:rPr>
              <w:t>435</w:t>
            </w:r>
          </w:p>
        </w:tc>
      </w:tr>
      <w:tr>
        <w:trPr>
          <w:trHeight w:val="539" w:hRule="atLeast"/>
        </w:trPr>
        <w:tc>
          <w:tcPr>
            <w:tcW w:w="11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p>
        </w:tc>
        <w:tc>
          <w:tcPr>
            <w:tcW w:w="12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p>
        </w:tc>
        <w:tc>
          <w:tcPr>
            <w:tcW w:w="1903"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双岗风电场</w:t>
            </w:r>
          </w:p>
        </w:tc>
        <w:tc>
          <w:tcPr>
            <w:tcW w:w="120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311</w:t>
            </w:r>
          </w:p>
        </w:tc>
        <w:tc>
          <w:tcPr>
            <w:tcW w:w="19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188</w:t>
            </w:r>
          </w:p>
        </w:tc>
        <w:tc>
          <w:tcPr>
            <w:tcW w:w="12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940</w:t>
            </w:r>
          </w:p>
        </w:tc>
      </w:tr>
      <w:tr>
        <w:tblPrEx>
          <w:tblCellMar>
            <w:top w:w="0" w:type="dxa"/>
            <w:left w:w="108" w:type="dxa"/>
            <w:bottom w:w="0" w:type="dxa"/>
            <w:right w:w="108" w:type="dxa"/>
          </w:tblCellMar>
        </w:tblPrEx>
        <w:trPr>
          <w:trHeight w:val="539" w:hRule="atLeast"/>
        </w:trPr>
        <w:tc>
          <w:tcPr>
            <w:tcW w:w="118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kern w:val="0"/>
                <w:sz w:val="24"/>
                <w:szCs w:val="24"/>
              </w:rPr>
            </w:pPr>
            <w:r>
              <w:rPr>
                <w:sz w:val="28"/>
                <w:szCs w:val="28"/>
              </w:rPr>
              <w:t>7</w:t>
            </w:r>
            <w:r>
              <w:rPr>
                <w:rFonts w:hint="eastAsia"/>
                <w:sz w:val="28"/>
                <w:szCs w:val="28"/>
              </w:rPr>
              <w:t>0</w:t>
            </w:r>
            <w:r>
              <w:rPr>
                <w:sz w:val="28"/>
                <w:szCs w:val="28"/>
              </w:rPr>
              <w:t>-80</w:t>
            </w:r>
          </w:p>
        </w:tc>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r>
              <w:rPr>
                <w:rFonts w:hint="eastAsia" w:ascii="Times New Roman" w:hAnsi="Times New Roman"/>
                <w:kern w:val="0"/>
                <w:sz w:val="24"/>
                <w:szCs w:val="24"/>
              </w:rPr>
              <w:t>镇赉县</w:t>
            </w:r>
          </w:p>
        </w:tc>
        <w:tc>
          <w:tcPr>
            <w:tcW w:w="1903" w:type="dxa"/>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乌木风电场</w:t>
            </w:r>
          </w:p>
        </w:tc>
        <w:tc>
          <w:tcPr>
            <w:tcW w:w="1204" w:type="dxa"/>
            <w:gridSpan w:val="2"/>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ascii="仿宋" w:hAnsi="仿宋" w:eastAsia="仿宋" w:cs="仿宋"/>
                <w:color w:val="000000"/>
                <w:sz w:val="24"/>
                <w:szCs w:val="24"/>
              </w:rPr>
              <w:t>281</w:t>
            </w:r>
          </w:p>
        </w:tc>
        <w:tc>
          <w:tcPr>
            <w:tcW w:w="1953" w:type="dxa"/>
            <w:gridSpan w:val="2"/>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ascii="仿宋" w:hAnsi="仿宋" w:eastAsia="仿宋" w:cs="仿宋"/>
                <w:color w:val="000000"/>
                <w:sz w:val="24"/>
                <w:szCs w:val="24"/>
              </w:rPr>
              <w:t>207</w:t>
            </w:r>
          </w:p>
        </w:tc>
        <w:tc>
          <w:tcPr>
            <w:tcW w:w="1268" w:type="dxa"/>
            <w:gridSpan w:val="2"/>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1030</w:t>
            </w:r>
          </w:p>
        </w:tc>
      </w:tr>
      <w:tr>
        <w:trPr>
          <w:trHeight w:val="539" w:hRule="atLeast"/>
        </w:trPr>
        <w:tc>
          <w:tcPr>
            <w:tcW w:w="118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kern w:val="0"/>
                <w:sz w:val="24"/>
                <w:szCs w:val="24"/>
              </w:rPr>
            </w:pPr>
          </w:p>
        </w:tc>
        <w:tc>
          <w:tcPr>
            <w:tcW w:w="127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r>
              <w:rPr>
                <w:rFonts w:hint="eastAsia" w:ascii="Times New Roman" w:hAnsi="Times New Roman"/>
                <w:kern w:val="0"/>
                <w:sz w:val="24"/>
                <w:szCs w:val="24"/>
              </w:rPr>
              <w:t>大安市</w:t>
            </w:r>
          </w:p>
        </w:tc>
        <w:tc>
          <w:tcPr>
            <w:tcW w:w="1903" w:type="dxa"/>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ascii="仿宋" w:hAnsi="仿宋" w:eastAsia="仿宋" w:cs="仿宋"/>
                <w:color w:val="000000"/>
                <w:sz w:val="24"/>
                <w:szCs w:val="24"/>
              </w:rPr>
              <w:t>兴学风场</w:t>
            </w:r>
          </w:p>
        </w:tc>
        <w:tc>
          <w:tcPr>
            <w:tcW w:w="1204" w:type="dxa"/>
            <w:gridSpan w:val="2"/>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ascii="仿宋" w:hAnsi="仿宋" w:eastAsia="仿宋" w:cs="仿宋"/>
                <w:color w:val="000000"/>
                <w:sz w:val="24"/>
                <w:szCs w:val="24"/>
              </w:rPr>
              <w:t>37</w:t>
            </w:r>
          </w:p>
        </w:tc>
        <w:tc>
          <w:tcPr>
            <w:tcW w:w="1953" w:type="dxa"/>
            <w:gridSpan w:val="2"/>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ascii="仿宋" w:hAnsi="仿宋" w:eastAsia="仿宋" w:cs="仿宋"/>
                <w:color w:val="000000"/>
                <w:sz w:val="24"/>
                <w:szCs w:val="24"/>
              </w:rPr>
              <w:t>26</w:t>
            </w:r>
          </w:p>
        </w:tc>
        <w:tc>
          <w:tcPr>
            <w:tcW w:w="1268" w:type="dxa"/>
            <w:gridSpan w:val="2"/>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ascii="仿宋" w:hAnsi="仿宋" w:eastAsia="仿宋" w:cs="仿宋"/>
                <w:color w:val="000000"/>
                <w:sz w:val="24"/>
                <w:szCs w:val="24"/>
              </w:rPr>
              <w:t>130</w:t>
            </w:r>
          </w:p>
        </w:tc>
      </w:tr>
      <w:tr>
        <w:tblPrEx>
          <w:tblCellMar>
            <w:top w:w="0" w:type="dxa"/>
            <w:left w:w="108" w:type="dxa"/>
            <w:bottom w:w="0" w:type="dxa"/>
            <w:right w:w="108" w:type="dxa"/>
          </w:tblCellMar>
        </w:tblPrEx>
        <w:trPr>
          <w:trHeight w:val="539" w:hRule="atLeast"/>
        </w:trPr>
        <w:tc>
          <w:tcPr>
            <w:tcW w:w="118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p>
        </w:tc>
        <w:tc>
          <w:tcPr>
            <w:tcW w:w="12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p>
        </w:tc>
        <w:tc>
          <w:tcPr>
            <w:tcW w:w="1903" w:type="dxa"/>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ascii="仿宋" w:hAnsi="仿宋" w:eastAsia="仿宋" w:cs="仿宋"/>
                <w:color w:val="000000"/>
                <w:sz w:val="24"/>
                <w:szCs w:val="24"/>
              </w:rPr>
              <w:t>平安风电场</w:t>
            </w:r>
          </w:p>
        </w:tc>
        <w:tc>
          <w:tcPr>
            <w:tcW w:w="1204" w:type="dxa"/>
            <w:gridSpan w:val="2"/>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ascii="仿宋" w:hAnsi="仿宋" w:eastAsia="仿宋" w:cs="仿宋"/>
                <w:color w:val="000000"/>
                <w:sz w:val="24"/>
                <w:szCs w:val="24"/>
              </w:rPr>
              <w:t>90</w:t>
            </w:r>
          </w:p>
        </w:tc>
        <w:tc>
          <w:tcPr>
            <w:tcW w:w="1953" w:type="dxa"/>
            <w:gridSpan w:val="2"/>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ascii="仿宋" w:hAnsi="仿宋" w:eastAsia="仿宋" w:cs="仿宋"/>
                <w:color w:val="000000"/>
                <w:sz w:val="24"/>
                <w:szCs w:val="24"/>
              </w:rPr>
              <w:t>40</w:t>
            </w:r>
          </w:p>
        </w:tc>
        <w:tc>
          <w:tcPr>
            <w:tcW w:w="1268" w:type="dxa"/>
            <w:gridSpan w:val="2"/>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ascii="仿宋" w:hAnsi="仿宋" w:eastAsia="仿宋" w:cs="仿宋"/>
                <w:color w:val="000000"/>
                <w:sz w:val="24"/>
                <w:szCs w:val="24"/>
              </w:rPr>
              <w:t>200</w:t>
            </w:r>
          </w:p>
        </w:tc>
      </w:tr>
      <w:tr>
        <w:trPr>
          <w:trHeight w:val="539" w:hRule="atLeast"/>
        </w:trPr>
        <w:tc>
          <w:tcPr>
            <w:tcW w:w="118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kern w:val="0"/>
                <w:sz w:val="24"/>
                <w:szCs w:val="24"/>
              </w:rPr>
            </w:pPr>
          </w:p>
        </w:tc>
        <w:tc>
          <w:tcPr>
            <w:tcW w:w="127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r>
              <w:rPr>
                <w:rFonts w:hint="eastAsia" w:ascii="Times New Roman" w:hAnsi="Times New Roman"/>
                <w:kern w:val="0"/>
                <w:sz w:val="24"/>
                <w:szCs w:val="24"/>
              </w:rPr>
              <w:t>通榆县</w:t>
            </w:r>
          </w:p>
        </w:tc>
        <w:tc>
          <w:tcPr>
            <w:tcW w:w="1903" w:type="dxa"/>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ascii="仿宋" w:hAnsi="仿宋" w:eastAsia="仿宋" w:cs="仿宋"/>
                <w:color w:val="000000"/>
                <w:sz w:val="24"/>
                <w:szCs w:val="24"/>
              </w:rPr>
              <w:t>八面风</w:t>
            </w:r>
            <w:r>
              <w:rPr>
                <w:rFonts w:hint="eastAsia" w:ascii="仿宋" w:hAnsi="仿宋" w:eastAsia="仿宋" w:cs="仿宋"/>
                <w:color w:val="000000"/>
                <w:sz w:val="24"/>
                <w:szCs w:val="24"/>
              </w:rPr>
              <w:t>光</w:t>
            </w:r>
            <w:r>
              <w:rPr>
                <w:rFonts w:ascii="仿宋" w:hAnsi="仿宋" w:eastAsia="仿宋" w:cs="仿宋"/>
                <w:color w:val="000000"/>
                <w:sz w:val="24"/>
                <w:szCs w:val="24"/>
              </w:rPr>
              <w:t>场</w:t>
            </w:r>
          </w:p>
        </w:tc>
        <w:tc>
          <w:tcPr>
            <w:tcW w:w="1204" w:type="dxa"/>
            <w:gridSpan w:val="2"/>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ascii="仿宋" w:hAnsi="仿宋" w:eastAsia="仿宋" w:cs="仿宋"/>
                <w:color w:val="000000"/>
                <w:sz w:val="24"/>
                <w:szCs w:val="24"/>
              </w:rPr>
              <w:t>359</w:t>
            </w:r>
          </w:p>
        </w:tc>
        <w:tc>
          <w:tcPr>
            <w:tcW w:w="1953" w:type="dxa"/>
            <w:gridSpan w:val="2"/>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ascii="仿宋" w:hAnsi="仿宋" w:eastAsia="仿宋" w:cs="仿宋"/>
                <w:color w:val="000000"/>
                <w:sz w:val="24"/>
                <w:szCs w:val="24"/>
              </w:rPr>
              <w:t>170</w:t>
            </w:r>
          </w:p>
        </w:tc>
        <w:tc>
          <w:tcPr>
            <w:tcW w:w="1268" w:type="dxa"/>
            <w:gridSpan w:val="2"/>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ascii="仿宋" w:hAnsi="仿宋" w:eastAsia="仿宋" w:cs="仿宋"/>
                <w:color w:val="000000"/>
                <w:sz w:val="24"/>
                <w:szCs w:val="24"/>
              </w:rPr>
              <w:t>850</w:t>
            </w:r>
          </w:p>
        </w:tc>
      </w:tr>
      <w:tr>
        <w:tblPrEx>
          <w:tblCellMar>
            <w:top w:w="0" w:type="dxa"/>
            <w:left w:w="108" w:type="dxa"/>
            <w:bottom w:w="0" w:type="dxa"/>
            <w:right w:w="108" w:type="dxa"/>
          </w:tblCellMar>
        </w:tblPrEx>
        <w:trPr>
          <w:trHeight w:val="539" w:hRule="atLeast"/>
        </w:trPr>
        <w:tc>
          <w:tcPr>
            <w:tcW w:w="118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rPr>
            </w:pPr>
          </w:p>
        </w:tc>
        <w:tc>
          <w:tcPr>
            <w:tcW w:w="127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p>
        </w:tc>
        <w:tc>
          <w:tcPr>
            <w:tcW w:w="1903" w:type="dxa"/>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四井子</w:t>
            </w:r>
            <w:r>
              <w:rPr>
                <w:rFonts w:ascii="仿宋" w:hAnsi="仿宋" w:eastAsia="仿宋" w:cs="仿宋"/>
                <w:color w:val="000000"/>
                <w:sz w:val="24"/>
                <w:szCs w:val="24"/>
              </w:rPr>
              <w:t>风光场</w:t>
            </w:r>
          </w:p>
        </w:tc>
        <w:tc>
          <w:tcPr>
            <w:tcW w:w="1204" w:type="dxa"/>
            <w:gridSpan w:val="2"/>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289</w:t>
            </w:r>
          </w:p>
        </w:tc>
        <w:tc>
          <w:tcPr>
            <w:tcW w:w="1953" w:type="dxa"/>
            <w:gridSpan w:val="2"/>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208</w:t>
            </w:r>
          </w:p>
        </w:tc>
        <w:tc>
          <w:tcPr>
            <w:tcW w:w="1268" w:type="dxa"/>
            <w:gridSpan w:val="2"/>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1040</w:t>
            </w:r>
          </w:p>
        </w:tc>
      </w:tr>
      <w:tr>
        <w:trPr>
          <w:trHeight w:val="539" w:hRule="atLeast"/>
        </w:trPr>
        <w:tc>
          <w:tcPr>
            <w:tcW w:w="118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rPr>
            </w:pPr>
            <w:r>
              <w:rPr>
                <w:rFonts w:hint="eastAsia"/>
                <w:sz w:val="28"/>
                <w:szCs w:val="28"/>
              </w:rPr>
              <w:t>80-100</w:t>
            </w:r>
          </w:p>
        </w:tc>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r>
              <w:rPr>
                <w:rFonts w:hint="eastAsia" w:ascii="Times New Roman" w:hAnsi="Times New Roman"/>
                <w:kern w:val="0"/>
                <w:sz w:val="24"/>
                <w:szCs w:val="24"/>
              </w:rPr>
              <w:t>洮南市</w:t>
            </w:r>
          </w:p>
        </w:tc>
        <w:tc>
          <w:tcPr>
            <w:tcW w:w="1903" w:type="dxa"/>
            <w:tcBorders>
              <w:top w:val="nil"/>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胡力吐风电场</w:t>
            </w:r>
          </w:p>
        </w:tc>
        <w:tc>
          <w:tcPr>
            <w:tcW w:w="1205"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605</w:t>
            </w:r>
          </w:p>
        </w:tc>
        <w:tc>
          <w:tcPr>
            <w:tcW w:w="1952"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181</w:t>
            </w:r>
          </w:p>
        </w:tc>
        <w:tc>
          <w:tcPr>
            <w:tcW w:w="1268" w:type="dxa"/>
            <w:gridSpan w:val="2"/>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905</w:t>
            </w:r>
          </w:p>
        </w:tc>
      </w:tr>
      <w:tr>
        <w:tblPrEx>
          <w:tblCellMar>
            <w:top w:w="0" w:type="dxa"/>
            <w:left w:w="108" w:type="dxa"/>
            <w:bottom w:w="0" w:type="dxa"/>
            <w:right w:w="108" w:type="dxa"/>
          </w:tblCellMar>
        </w:tblPrEx>
        <w:trPr>
          <w:trHeight w:val="539" w:hRule="atLeast"/>
        </w:trPr>
        <w:tc>
          <w:tcPr>
            <w:tcW w:w="118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imes New Roman" w:hAnsi="Times New Roman"/>
                <w:kern w:val="0"/>
                <w:sz w:val="24"/>
                <w:szCs w:val="24"/>
              </w:rPr>
            </w:pPr>
          </w:p>
        </w:tc>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r>
              <w:rPr>
                <w:rFonts w:hint="eastAsia" w:ascii="Times New Roman" w:hAnsi="Times New Roman"/>
                <w:kern w:val="0"/>
                <w:sz w:val="24"/>
                <w:szCs w:val="24"/>
              </w:rPr>
              <w:t>大安市</w:t>
            </w:r>
          </w:p>
        </w:tc>
        <w:tc>
          <w:tcPr>
            <w:tcW w:w="1903" w:type="dxa"/>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ascii="仿宋" w:hAnsi="仿宋" w:eastAsia="仿宋" w:cs="仿宋"/>
                <w:color w:val="000000"/>
                <w:sz w:val="24"/>
                <w:szCs w:val="24"/>
              </w:rPr>
              <w:t>两家子风</w:t>
            </w:r>
            <w:r>
              <w:rPr>
                <w:rFonts w:hint="eastAsia" w:ascii="仿宋" w:hAnsi="仿宋" w:eastAsia="仿宋" w:cs="仿宋"/>
                <w:color w:val="000000"/>
                <w:sz w:val="24"/>
                <w:szCs w:val="24"/>
              </w:rPr>
              <w:t>光</w:t>
            </w:r>
            <w:r>
              <w:rPr>
                <w:rFonts w:ascii="仿宋" w:hAnsi="仿宋" w:eastAsia="仿宋" w:cs="仿宋"/>
                <w:color w:val="000000"/>
                <w:sz w:val="24"/>
                <w:szCs w:val="24"/>
              </w:rPr>
              <w:t>场</w:t>
            </w:r>
          </w:p>
        </w:tc>
        <w:tc>
          <w:tcPr>
            <w:tcW w:w="1205" w:type="dxa"/>
            <w:gridSpan w:val="3"/>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ascii="仿宋" w:hAnsi="仿宋" w:eastAsia="仿宋" w:cs="仿宋"/>
                <w:color w:val="000000"/>
                <w:sz w:val="24"/>
                <w:szCs w:val="24"/>
              </w:rPr>
              <w:t>375</w:t>
            </w:r>
          </w:p>
        </w:tc>
        <w:tc>
          <w:tcPr>
            <w:tcW w:w="1952" w:type="dxa"/>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ascii="仿宋" w:hAnsi="仿宋" w:eastAsia="仿宋" w:cs="仿宋"/>
                <w:color w:val="000000"/>
                <w:sz w:val="24"/>
                <w:szCs w:val="24"/>
              </w:rPr>
              <w:t>281</w:t>
            </w:r>
          </w:p>
        </w:tc>
        <w:tc>
          <w:tcPr>
            <w:tcW w:w="1268" w:type="dxa"/>
            <w:gridSpan w:val="2"/>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ascii="仿宋" w:hAnsi="仿宋" w:eastAsia="仿宋" w:cs="仿宋"/>
                <w:color w:val="000000"/>
                <w:sz w:val="24"/>
                <w:szCs w:val="24"/>
              </w:rPr>
              <w:t>1405</w:t>
            </w:r>
          </w:p>
        </w:tc>
      </w:tr>
      <w:tr>
        <w:trPr>
          <w:trHeight w:val="539" w:hRule="atLeast"/>
        </w:trPr>
        <w:tc>
          <w:tcPr>
            <w:tcW w:w="118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imes New Roman" w:hAnsi="Times New Roman"/>
                <w:kern w:val="0"/>
                <w:sz w:val="24"/>
                <w:szCs w:val="24"/>
              </w:rPr>
            </w:pPr>
          </w:p>
        </w:tc>
        <w:tc>
          <w:tcPr>
            <w:tcW w:w="127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r>
              <w:rPr>
                <w:rFonts w:hint="eastAsia" w:ascii="Times New Roman" w:hAnsi="Times New Roman"/>
                <w:kern w:val="0"/>
                <w:sz w:val="24"/>
                <w:szCs w:val="24"/>
              </w:rPr>
              <w:t>通榆县</w:t>
            </w:r>
          </w:p>
        </w:tc>
        <w:tc>
          <w:tcPr>
            <w:tcW w:w="1903" w:type="dxa"/>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ascii="仿宋" w:hAnsi="仿宋" w:eastAsia="仿宋" w:cs="仿宋"/>
                <w:color w:val="000000"/>
                <w:sz w:val="24"/>
                <w:szCs w:val="24"/>
              </w:rPr>
              <w:t>长胜风电场</w:t>
            </w:r>
          </w:p>
        </w:tc>
        <w:tc>
          <w:tcPr>
            <w:tcW w:w="1205" w:type="dxa"/>
            <w:gridSpan w:val="3"/>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360</w:t>
            </w:r>
          </w:p>
        </w:tc>
        <w:tc>
          <w:tcPr>
            <w:tcW w:w="1952" w:type="dxa"/>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203</w:t>
            </w:r>
          </w:p>
        </w:tc>
        <w:tc>
          <w:tcPr>
            <w:tcW w:w="1268" w:type="dxa"/>
            <w:gridSpan w:val="2"/>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1015</w:t>
            </w:r>
          </w:p>
        </w:tc>
      </w:tr>
      <w:tr>
        <w:tblPrEx>
          <w:tblCellMar>
            <w:top w:w="0" w:type="dxa"/>
            <w:left w:w="108" w:type="dxa"/>
            <w:bottom w:w="0" w:type="dxa"/>
            <w:right w:w="108" w:type="dxa"/>
          </w:tblCellMar>
        </w:tblPrEx>
        <w:trPr>
          <w:trHeight w:val="539" w:hRule="atLeast"/>
        </w:trPr>
        <w:tc>
          <w:tcPr>
            <w:tcW w:w="118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Times New Roman" w:hAnsi="Times New Roman"/>
                <w:kern w:val="0"/>
                <w:sz w:val="24"/>
                <w:szCs w:val="24"/>
              </w:rPr>
            </w:pPr>
          </w:p>
        </w:tc>
        <w:tc>
          <w:tcPr>
            <w:tcW w:w="12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Times New Roman" w:hAnsi="Times New Roman"/>
                <w:kern w:val="0"/>
                <w:sz w:val="24"/>
                <w:szCs w:val="24"/>
              </w:rPr>
            </w:pPr>
          </w:p>
        </w:tc>
        <w:tc>
          <w:tcPr>
            <w:tcW w:w="1903" w:type="dxa"/>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ascii="仿宋" w:hAnsi="仿宋" w:eastAsia="仿宋" w:cs="仿宋"/>
                <w:color w:val="000000"/>
                <w:sz w:val="24"/>
                <w:szCs w:val="24"/>
              </w:rPr>
              <w:t>光明风电场</w:t>
            </w:r>
          </w:p>
        </w:tc>
        <w:tc>
          <w:tcPr>
            <w:tcW w:w="1205" w:type="dxa"/>
            <w:gridSpan w:val="3"/>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ascii="仿宋" w:hAnsi="仿宋" w:eastAsia="仿宋" w:cs="仿宋"/>
                <w:color w:val="000000"/>
                <w:sz w:val="24"/>
                <w:szCs w:val="24"/>
              </w:rPr>
              <w:t>50</w:t>
            </w:r>
          </w:p>
        </w:tc>
        <w:tc>
          <w:tcPr>
            <w:tcW w:w="1952" w:type="dxa"/>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ascii="仿宋" w:hAnsi="仿宋" w:eastAsia="仿宋" w:cs="仿宋"/>
                <w:color w:val="000000"/>
                <w:sz w:val="24"/>
                <w:szCs w:val="24"/>
              </w:rPr>
              <w:t>35</w:t>
            </w:r>
          </w:p>
        </w:tc>
        <w:tc>
          <w:tcPr>
            <w:tcW w:w="1268" w:type="dxa"/>
            <w:gridSpan w:val="2"/>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ascii="仿宋" w:hAnsi="仿宋" w:eastAsia="仿宋" w:cs="仿宋"/>
                <w:color w:val="000000"/>
                <w:sz w:val="24"/>
                <w:szCs w:val="24"/>
              </w:rPr>
              <w:t>175</w:t>
            </w:r>
          </w:p>
        </w:tc>
      </w:tr>
      <w:tr>
        <w:trPr>
          <w:trHeight w:val="539" w:hRule="atLeast"/>
        </w:trPr>
        <w:tc>
          <w:tcPr>
            <w:tcW w:w="118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Times New Roman" w:hAnsi="Times New Roman"/>
                <w:kern w:val="0"/>
                <w:sz w:val="24"/>
                <w:szCs w:val="24"/>
              </w:rPr>
            </w:pPr>
          </w:p>
        </w:tc>
        <w:tc>
          <w:tcPr>
            <w:tcW w:w="12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ascii="Times New Roman" w:hAnsi="Times New Roman"/>
                <w:kern w:val="0"/>
                <w:sz w:val="24"/>
                <w:szCs w:val="24"/>
              </w:rPr>
            </w:pPr>
          </w:p>
        </w:tc>
        <w:tc>
          <w:tcPr>
            <w:tcW w:w="1903" w:type="dxa"/>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什花道</w:t>
            </w:r>
            <w:r>
              <w:rPr>
                <w:rFonts w:ascii="仿宋" w:hAnsi="仿宋" w:eastAsia="仿宋" w:cs="仿宋"/>
                <w:color w:val="000000"/>
                <w:sz w:val="24"/>
                <w:szCs w:val="24"/>
              </w:rPr>
              <w:t>风光场</w:t>
            </w:r>
          </w:p>
        </w:tc>
        <w:tc>
          <w:tcPr>
            <w:tcW w:w="120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836</w:t>
            </w:r>
          </w:p>
        </w:tc>
        <w:tc>
          <w:tcPr>
            <w:tcW w:w="195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375</w:t>
            </w:r>
          </w:p>
        </w:tc>
        <w:tc>
          <w:tcPr>
            <w:tcW w:w="1268"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1875</w:t>
            </w:r>
          </w:p>
        </w:tc>
      </w:tr>
      <w:tr>
        <w:tblPrEx>
          <w:tblCellMar>
            <w:top w:w="0" w:type="dxa"/>
            <w:left w:w="108" w:type="dxa"/>
            <w:bottom w:w="0" w:type="dxa"/>
            <w:right w:w="108" w:type="dxa"/>
          </w:tblCellMar>
        </w:tblPrEx>
        <w:trPr>
          <w:trHeight w:val="539" w:hRule="atLeast"/>
        </w:trPr>
        <w:tc>
          <w:tcPr>
            <w:tcW w:w="1183"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合</w:t>
            </w:r>
            <w:r>
              <w:rPr>
                <w:rFonts w:hint="eastAsia" w:ascii="仿宋" w:hAnsi="仿宋" w:eastAsia="仿宋" w:cs="仿宋"/>
                <w:b/>
                <w:color w:val="000000"/>
                <w:sz w:val="24"/>
                <w:szCs w:val="24"/>
                <w:lang w:val="en-US" w:eastAsia="zh-CN"/>
              </w:rPr>
              <w:t xml:space="preserve">  </w:t>
            </w:r>
            <w:r>
              <w:rPr>
                <w:rFonts w:hint="eastAsia" w:ascii="仿宋" w:hAnsi="仿宋" w:eastAsia="仿宋" w:cs="仿宋"/>
                <w:b/>
                <w:color w:val="000000"/>
                <w:sz w:val="24"/>
                <w:szCs w:val="24"/>
              </w:rPr>
              <w:t>计</w:t>
            </w:r>
          </w:p>
        </w:tc>
        <w:tc>
          <w:tcPr>
            <w:tcW w:w="1272"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hint="eastAsia" w:ascii="仿宋" w:hAnsi="仿宋" w:eastAsia="仿宋" w:cs="仿宋"/>
                <w:b/>
                <w:color w:val="000000"/>
                <w:sz w:val="24"/>
                <w:szCs w:val="24"/>
              </w:rPr>
            </w:pPr>
          </w:p>
        </w:tc>
        <w:tc>
          <w:tcPr>
            <w:tcW w:w="1903"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hint="eastAsia" w:ascii="仿宋" w:hAnsi="仿宋" w:eastAsia="仿宋" w:cs="仿宋"/>
                <w:b/>
                <w:color w:val="000000"/>
                <w:sz w:val="24"/>
                <w:szCs w:val="24"/>
              </w:rPr>
            </w:pPr>
          </w:p>
        </w:tc>
        <w:tc>
          <w:tcPr>
            <w:tcW w:w="1205" w:type="dxa"/>
            <w:gridSpan w:val="3"/>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hint="default" w:ascii="仿宋" w:hAnsi="仿宋" w:eastAsia="仿宋" w:cs="仿宋"/>
                <w:b/>
                <w:color w:val="000000"/>
                <w:sz w:val="24"/>
                <w:szCs w:val="24"/>
                <w:lang w:val="en-US" w:eastAsia="zh-CN"/>
              </w:rPr>
            </w:pPr>
            <w:r>
              <w:rPr>
                <w:rFonts w:hint="eastAsia" w:ascii="仿宋" w:hAnsi="仿宋" w:eastAsia="仿宋" w:cs="仿宋"/>
                <w:b/>
                <w:color w:val="000000"/>
                <w:sz w:val="24"/>
                <w:szCs w:val="24"/>
                <w:lang w:val="en-US" w:eastAsia="zh-CN"/>
              </w:rPr>
              <w:t>4674</w:t>
            </w:r>
          </w:p>
        </w:tc>
        <w:tc>
          <w:tcPr>
            <w:tcW w:w="1952" w:type="dxa"/>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hint="default" w:ascii="仿宋" w:hAnsi="仿宋" w:eastAsia="仿宋" w:cs="仿宋"/>
                <w:b/>
                <w:color w:val="000000"/>
                <w:sz w:val="24"/>
                <w:szCs w:val="24"/>
                <w:lang w:val="en-US" w:eastAsia="zh-CN"/>
              </w:rPr>
            </w:pPr>
            <w:r>
              <w:rPr>
                <w:rFonts w:hint="eastAsia" w:ascii="仿宋" w:hAnsi="仿宋" w:eastAsia="仿宋" w:cs="仿宋"/>
                <w:b/>
                <w:color w:val="000000"/>
                <w:sz w:val="24"/>
                <w:szCs w:val="24"/>
                <w:lang w:val="en-US" w:eastAsia="zh-CN"/>
              </w:rPr>
              <w:t>2726</w:t>
            </w:r>
          </w:p>
        </w:tc>
        <w:tc>
          <w:tcPr>
            <w:tcW w:w="1268" w:type="dxa"/>
            <w:gridSpan w:val="2"/>
            <w:tcBorders>
              <w:top w:val="single" w:color="auto" w:sz="4" w:space="0"/>
              <w:left w:val="nil"/>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jc w:val="center"/>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lang w:val="en-US" w:eastAsia="zh-CN"/>
              </w:rPr>
              <w:t>13630</w:t>
            </w:r>
          </w:p>
        </w:tc>
      </w:tr>
    </w:tbl>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center"/>
        <w:textAlignment w:val="auto"/>
        <w:rPr>
          <w:rFonts w:hint="eastAsia" w:ascii="仿宋" w:hAnsi="仿宋" w:eastAsia="仿宋" w:cs="仿宋"/>
          <w:sz w:val="32"/>
          <w:szCs w:val="32"/>
        </w:rPr>
      </w:pPr>
    </w:p>
    <w:tbl>
      <w:tblPr>
        <w:tblStyle w:val="10"/>
        <w:tblpPr w:leftFromText="180" w:rightFromText="180" w:vertAnchor="text" w:horzAnchor="page" w:tblpX="1789" w:tblpY="134"/>
        <w:tblOverlap w:val="never"/>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1274"/>
        <w:gridCol w:w="1904"/>
        <w:gridCol w:w="1238"/>
        <w:gridCol w:w="200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940" w:type="dxa"/>
            <w:gridSpan w:val="6"/>
            <w:tcBorders>
              <w:top w:val="nil"/>
              <w:left w:val="nil"/>
              <w:bottom w:val="single" w:color="auto" w:sz="4" w:space="0"/>
              <w:right w:val="nil"/>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b/>
                <w:bCs/>
                <w:kern w:val="0"/>
                <w:sz w:val="24"/>
                <w:szCs w:val="24"/>
              </w:rPr>
            </w:pPr>
            <w:r>
              <w:rPr>
                <w:rFonts w:hint="eastAsia" w:ascii="黑体" w:hAnsi="黑体" w:eastAsia="黑体" w:cs="黑体"/>
                <w:color w:val="000000"/>
                <w:sz w:val="32"/>
                <w:szCs w:val="32"/>
                <w:lang w:val="en-US" w:eastAsia="zh-CN"/>
              </w:rPr>
              <w:t>光伏场区规划汇总表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29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b/>
                <w:bCs/>
                <w:kern w:val="0"/>
                <w:sz w:val="24"/>
                <w:szCs w:val="24"/>
                <w:lang w:val="en-US" w:eastAsia="zh-CN"/>
              </w:rPr>
            </w:pPr>
            <w:r>
              <w:rPr>
                <w:rFonts w:hint="eastAsia" w:ascii="Times New Roman" w:hAnsi="Times New Roman"/>
                <w:b/>
                <w:bCs/>
                <w:kern w:val="0"/>
                <w:sz w:val="24"/>
                <w:szCs w:val="24"/>
                <w:lang w:val="en-US" w:eastAsia="zh-CN"/>
              </w:rPr>
              <w:t>对应半径</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kern w:val="0"/>
                <w:sz w:val="24"/>
                <w:szCs w:val="24"/>
                <w:lang w:val="en-US" w:eastAsia="zh-CN" w:bidi="ar-SA"/>
              </w:rPr>
            </w:pPr>
            <w:r>
              <w:rPr>
                <w:rFonts w:hint="eastAsia"/>
                <w:b/>
                <w:bCs/>
                <w:kern w:val="0"/>
                <w:sz w:val="24"/>
                <w:szCs w:val="24"/>
                <w:lang w:eastAsia="zh-CN"/>
              </w:rPr>
              <w:t>（</w:t>
            </w:r>
            <w:r>
              <w:rPr>
                <w:rFonts w:hint="eastAsia" w:ascii="Times New Roman" w:hAnsi="Times New Roman"/>
                <w:b/>
                <w:bCs/>
                <w:kern w:val="0"/>
                <w:sz w:val="24"/>
                <w:szCs w:val="24"/>
              </w:rPr>
              <w:t>km</w:t>
            </w:r>
            <w:r>
              <w:rPr>
                <w:rFonts w:hint="eastAsia"/>
                <w:b/>
                <w:bCs/>
                <w:kern w:val="0"/>
                <w:sz w:val="24"/>
                <w:szCs w:val="24"/>
                <w:lang w:eastAsia="zh-CN"/>
              </w:rPr>
              <w:t>）</w:t>
            </w:r>
          </w:p>
        </w:tc>
        <w:tc>
          <w:tcPr>
            <w:tcW w:w="12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bCs/>
                <w:kern w:val="0"/>
                <w:sz w:val="24"/>
                <w:szCs w:val="24"/>
                <w:lang w:val="en-US" w:eastAsia="zh-CN" w:bidi="ar-SA"/>
              </w:rPr>
            </w:pPr>
            <w:r>
              <w:rPr>
                <w:rFonts w:ascii="Times New Roman" w:hAnsi="Times New Roman"/>
                <w:b/>
                <w:bCs/>
                <w:kern w:val="0"/>
                <w:sz w:val="24"/>
                <w:szCs w:val="24"/>
              </w:rPr>
              <w:t>地区</w:t>
            </w:r>
          </w:p>
        </w:tc>
        <w:tc>
          <w:tcPr>
            <w:tcW w:w="190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bCs/>
                <w:kern w:val="0"/>
                <w:sz w:val="24"/>
                <w:szCs w:val="24"/>
                <w:lang w:val="en-US" w:eastAsia="zh-CN" w:bidi="ar-SA"/>
              </w:rPr>
            </w:pPr>
            <w:r>
              <w:rPr>
                <w:rFonts w:ascii="Times New Roman" w:hAnsi="Times New Roman"/>
                <w:b/>
                <w:bCs/>
                <w:kern w:val="0"/>
                <w:sz w:val="24"/>
                <w:szCs w:val="24"/>
              </w:rPr>
              <w:t>场址名称</w:t>
            </w:r>
          </w:p>
        </w:tc>
        <w:tc>
          <w:tcPr>
            <w:tcW w:w="123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b/>
                <w:bCs/>
                <w:kern w:val="0"/>
                <w:sz w:val="24"/>
                <w:szCs w:val="24"/>
              </w:rPr>
            </w:pPr>
            <w:r>
              <w:rPr>
                <w:rFonts w:ascii="Times New Roman" w:hAnsi="Times New Roman"/>
                <w:b/>
                <w:bCs/>
                <w:kern w:val="0"/>
                <w:sz w:val="24"/>
                <w:szCs w:val="24"/>
              </w:rPr>
              <w:t>规划面积</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kern w:val="0"/>
                <w:sz w:val="24"/>
                <w:szCs w:val="24"/>
                <w:lang w:val="en-US" w:eastAsia="zh-CN" w:bidi="ar-SA"/>
              </w:rPr>
            </w:pPr>
            <w:r>
              <w:rPr>
                <w:rFonts w:hint="eastAsia" w:ascii="Times New Roman" w:hAnsi="Times New Roman"/>
                <w:b/>
                <w:bCs/>
                <w:kern w:val="0"/>
                <w:sz w:val="24"/>
                <w:szCs w:val="24"/>
                <w:lang w:eastAsia="zh-CN"/>
              </w:rPr>
              <w:t>（</w:t>
            </w:r>
            <w:r>
              <w:rPr>
                <w:rFonts w:ascii="Times New Roman" w:hAnsi="Times New Roman"/>
                <w:b/>
                <w:bCs/>
                <w:kern w:val="0"/>
                <w:sz w:val="24"/>
                <w:szCs w:val="24"/>
              </w:rPr>
              <w:t>km</w:t>
            </w:r>
            <w:r>
              <w:rPr>
                <w:rFonts w:ascii="Times New Roman" w:hAnsi="Times New Roman"/>
                <w:b/>
                <w:bCs/>
                <w:kern w:val="0"/>
                <w:sz w:val="24"/>
                <w:szCs w:val="24"/>
                <w:vertAlign w:val="superscript"/>
              </w:rPr>
              <w:t>2</w:t>
            </w:r>
            <w:r>
              <w:rPr>
                <w:rFonts w:hint="eastAsia" w:ascii="Times New Roman" w:hAnsi="Times New Roman"/>
                <w:b/>
                <w:bCs/>
                <w:kern w:val="0"/>
                <w:sz w:val="24"/>
                <w:szCs w:val="24"/>
                <w:lang w:eastAsia="zh-CN"/>
              </w:rPr>
              <w:t>）</w:t>
            </w:r>
          </w:p>
        </w:tc>
        <w:tc>
          <w:tcPr>
            <w:tcW w:w="20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b/>
                <w:bCs/>
                <w:kern w:val="0"/>
                <w:sz w:val="24"/>
                <w:szCs w:val="24"/>
              </w:rPr>
            </w:pPr>
            <w:r>
              <w:rPr>
                <w:rFonts w:ascii="Times New Roman" w:hAnsi="Times New Roman"/>
                <w:b/>
                <w:bCs/>
                <w:kern w:val="0"/>
                <w:sz w:val="24"/>
                <w:szCs w:val="24"/>
              </w:rPr>
              <w:t>实际可利用面积</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kern w:val="0"/>
                <w:sz w:val="24"/>
                <w:szCs w:val="24"/>
                <w:lang w:val="en-US" w:eastAsia="zh-CN" w:bidi="ar-SA"/>
              </w:rPr>
            </w:pPr>
            <w:r>
              <w:rPr>
                <w:rFonts w:hint="eastAsia" w:ascii="Times New Roman" w:hAnsi="Times New Roman"/>
                <w:b/>
                <w:bCs/>
                <w:kern w:val="0"/>
                <w:sz w:val="24"/>
                <w:szCs w:val="24"/>
                <w:lang w:eastAsia="zh-CN"/>
              </w:rPr>
              <w:t>（</w:t>
            </w:r>
            <w:r>
              <w:rPr>
                <w:rFonts w:ascii="Times New Roman" w:hAnsi="Times New Roman"/>
                <w:b/>
                <w:bCs/>
                <w:kern w:val="0"/>
                <w:sz w:val="24"/>
                <w:szCs w:val="24"/>
              </w:rPr>
              <w:t>km</w:t>
            </w:r>
            <w:r>
              <w:rPr>
                <w:rFonts w:ascii="Times New Roman" w:hAnsi="Times New Roman"/>
                <w:b/>
                <w:bCs/>
                <w:kern w:val="0"/>
                <w:sz w:val="24"/>
                <w:szCs w:val="24"/>
                <w:vertAlign w:val="superscript"/>
              </w:rPr>
              <w:t>2</w:t>
            </w:r>
            <w:r>
              <w:rPr>
                <w:rFonts w:hint="eastAsia" w:ascii="Times New Roman" w:hAnsi="Times New Roman"/>
                <w:b/>
                <w:bCs/>
                <w:kern w:val="0"/>
                <w:sz w:val="24"/>
                <w:szCs w:val="24"/>
                <w:lang w:eastAsia="zh-CN"/>
              </w:rPr>
              <w:t>）</w:t>
            </w:r>
          </w:p>
        </w:tc>
        <w:tc>
          <w:tcPr>
            <w:tcW w:w="122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b/>
                <w:bCs/>
                <w:kern w:val="0"/>
                <w:sz w:val="24"/>
                <w:szCs w:val="24"/>
              </w:rPr>
            </w:pPr>
            <w:r>
              <w:rPr>
                <w:rFonts w:hint="eastAsia"/>
                <w:b/>
                <w:bCs/>
                <w:kern w:val="0"/>
                <w:sz w:val="24"/>
                <w:szCs w:val="24"/>
                <w:lang w:val="en-US" w:eastAsia="zh-CN"/>
              </w:rPr>
              <w:t>光伏</w:t>
            </w:r>
            <w:r>
              <w:rPr>
                <w:rFonts w:ascii="Times New Roman" w:hAnsi="Times New Roman"/>
                <w:b/>
                <w:bCs/>
                <w:kern w:val="0"/>
                <w:sz w:val="24"/>
                <w:szCs w:val="24"/>
              </w:rPr>
              <w:t>容量</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kern w:val="0"/>
                <w:sz w:val="24"/>
                <w:szCs w:val="24"/>
                <w:lang w:val="en-US" w:eastAsia="zh-CN" w:bidi="ar-SA"/>
              </w:rPr>
            </w:pPr>
            <w:r>
              <w:rPr>
                <w:rFonts w:hint="eastAsia"/>
                <w:b/>
                <w:bCs/>
                <w:kern w:val="0"/>
                <w:sz w:val="24"/>
                <w:szCs w:val="24"/>
                <w:lang w:eastAsia="zh-CN"/>
              </w:rPr>
              <w:t>（</w:t>
            </w:r>
            <w:r>
              <w:rPr>
                <w:rFonts w:ascii="Times New Roman" w:hAnsi="Times New Roman"/>
                <w:b/>
                <w:bCs/>
                <w:kern w:val="0"/>
                <w:sz w:val="24"/>
                <w:szCs w:val="24"/>
              </w:rPr>
              <w:t>MW</w:t>
            </w:r>
            <w:r>
              <w:rPr>
                <w:rFonts w:hint="eastAsia"/>
                <w:b/>
                <w:bCs/>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93" w:type="dxa"/>
            <w:tcBorders>
              <w:top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rPr>
            </w:pPr>
            <w:r>
              <w:rPr>
                <w:rFonts w:hint="eastAsia"/>
                <w:sz w:val="28"/>
                <w:szCs w:val="28"/>
              </w:rPr>
              <w:t>20</w:t>
            </w:r>
          </w:p>
        </w:tc>
        <w:tc>
          <w:tcPr>
            <w:tcW w:w="1274" w:type="dxa"/>
            <w:tcBorders>
              <w:top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r>
              <w:rPr>
                <w:rFonts w:ascii="Times New Roman" w:hAnsi="Times New Roman"/>
                <w:kern w:val="0"/>
                <w:sz w:val="24"/>
                <w:szCs w:val="24"/>
              </w:rPr>
              <w:t>洮北区</w:t>
            </w:r>
          </w:p>
        </w:tc>
        <w:tc>
          <w:tcPr>
            <w:tcW w:w="1904" w:type="dxa"/>
            <w:tcBorders>
              <w:top w:val="single" w:color="auto" w:sz="4" w:space="0"/>
            </w:tcBorders>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Times New Roman" w:hAnsi="Times New Roman"/>
                <w:sz w:val="24"/>
                <w:szCs w:val="24"/>
              </w:rPr>
            </w:pPr>
            <w:r>
              <w:rPr>
                <w:rFonts w:hint="eastAsia" w:ascii="仿宋" w:hAnsi="仿宋" w:eastAsia="仿宋" w:cs="仿宋"/>
                <w:color w:val="000000"/>
                <w:sz w:val="24"/>
                <w:szCs w:val="24"/>
              </w:rPr>
              <w:t>高平水面光伏</w:t>
            </w:r>
          </w:p>
        </w:tc>
        <w:tc>
          <w:tcPr>
            <w:tcW w:w="1238" w:type="dxa"/>
            <w:tcBorders>
              <w:top w:val="single" w:color="auto" w:sz="4" w:space="0"/>
            </w:tcBorders>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s="宋体"/>
                <w:color w:val="000000"/>
                <w:sz w:val="24"/>
                <w:szCs w:val="24"/>
              </w:rPr>
            </w:pPr>
            <w:r>
              <w:rPr>
                <w:rFonts w:hint="eastAsia" w:ascii="仿宋" w:hAnsi="仿宋" w:eastAsia="仿宋"/>
                <w:color w:val="000000"/>
                <w:sz w:val="24"/>
                <w:szCs w:val="24"/>
              </w:rPr>
              <w:t>9</w:t>
            </w:r>
          </w:p>
        </w:tc>
        <w:tc>
          <w:tcPr>
            <w:tcW w:w="2002" w:type="dxa"/>
            <w:tcBorders>
              <w:top w:val="single" w:color="auto" w:sz="4" w:space="0"/>
            </w:tcBorders>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color w:val="000000"/>
                <w:sz w:val="24"/>
                <w:szCs w:val="24"/>
              </w:rPr>
            </w:pPr>
            <w:r>
              <w:rPr>
                <w:rFonts w:ascii="Times New Roman" w:hAnsi="Times New Roman"/>
                <w:color w:val="000000"/>
                <w:sz w:val="24"/>
                <w:szCs w:val="24"/>
              </w:rPr>
              <w:t>8</w:t>
            </w:r>
          </w:p>
        </w:tc>
        <w:tc>
          <w:tcPr>
            <w:tcW w:w="1229" w:type="dxa"/>
            <w:tcBorders>
              <w:top w:val="single" w:color="auto" w:sz="4" w:space="0"/>
            </w:tcBorders>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s="宋体"/>
                <w:color w:val="000000"/>
                <w:sz w:val="24"/>
                <w:szCs w:val="24"/>
              </w:rPr>
            </w:pPr>
            <w:r>
              <w:rPr>
                <w:rFonts w:hint="eastAsia" w:ascii="仿宋" w:hAnsi="仿宋" w:eastAsia="仿宋"/>
                <w:color w:val="000000"/>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93" w:type="dxa"/>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rPr>
            </w:pPr>
            <w:r>
              <w:rPr>
                <w:rFonts w:hint="eastAsia"/>
                <w:sz w:val="28"/>
                <w:szCs w:val="28"/>
              </w:rPr>
              <w:t>20-30</w:t>
            </w:r>
          </w:p>
        </w:tc>
        <w:tc>
          <w:tcPr>
            <w:tcW w:w="1274" w:type="dxa"/>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r>
              <w:rPr>
                <w:rFonts w:ascii="Times New Roman" w:hAnsi="Times New Roman"/>
                <w:kern w:val="0"/>
                <w:sz w:val="24"/>
                <w:szCs w:val="24"/>
              </w:rPr>
              <w:t>洮北区</w:t>
            </w:r>
          </w:p>
        </w:tc>
        <w:tc>
          <w:tcPr>
            <w:tcW w:w="1904"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Times New Roman" w:hAnsi="Times New Roman"/>
                <w:sz w:val="24"/>
                <w:szCs w:val="24"/>
              </w:rPr>
            </w:pPr>
            <w:r>
              <w:rPr>
                <w:rFonts w:hint="eastAsia" w:ascii="仿宋" w:hAnsi="仿宋" w:eastAsia="仿宋" w:cs="仿宋"/>
                <w:color w:val="000000"/>
                <w:sz w:val="24"/>
                <w:szCs w:val="24"/>
              </w:rPr>
              <w:t>四间房光伏</w:t>
            </w:r>
          </w:p>
        </w:tc>
        <w:tc>
          <w:tcPr>
            <w:tcW w:w="1238"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s="宋体"/>
                <w:color w:val="000000"/>
                <w:sz w:val="24"/>
                <w:szCs w:val="24"/>
              </w:rPr>
            </w:pPr>
            <w:r>
              <w:rPr>
                <w:rFonts w:hint="eastAsia" w:ascii="仿宋" w:hAnsi="仿宋" w:eastAsia="仿宋"/>
                <w:color w:val="000000"/>
                <w:sz w:val="24"/>
                <w:szCs w:val="24"/>
              </w:rPr>
              <w:t>6</w:t>
            </w:r>
          </w:p>
        </w:tc>
        <w:tc>
          <w:tcPr>
            <w:tcW w:w="2002"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color w:val="000000"/>
                <w:sz w:val="24"/>
                <w:szCs w:val="24"/>
              </w:rPr>
            </w:pPr>
            <w:r>
              <w:rPr>
                <w:rFonts w:ascii="Times New Roman" w:hAnsi="Times New Roman"/>
                <w:color w:val="000000"/>
                <w:sz w:val="24"/>
                <w:szCs w:val="24"/>
              </w:rPr>
              <w:t>4</w:t>
            </w:r>
          </w:p>
        </w:tc>
        <w:tc>
          <w:tcPr>
            <w:tcW w:w="1229"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s="宋体"/>
                <w:color w:val="000000"/>
                <w:sz w:val="24"/>
                <w:szCs w:val="24"/>
              </w:rPr>
            </w:pPr>
            <w:r>
              <w:rPr>
                <w:rFonts w:hint="eastAsia" w:ascii="仿宋" w:hAnsi="仿宋" w:eastAsia="仿宋"/>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93"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rPr>
            </w:pPr>
          </w:p>
        </w:tc>
        <w:tc>
          <w:tcPr>
            <w:tcW w:w="1274"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p>
        </w:tc>
        <w:tc>
          <w:tcPr>
            <w:tcW w:w="1904"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Times New Roman" w:hAnsi="Times New Roman"/>
                <w:sz w:val="24"/>
                <w:szCs w:val="24"/>
              </w:rPr>
            </w:pPr>
            <w:r>
              <w:rPr>
                <w:rFonts w:hint="eastAsia" w:ascii="仿宋" w:hAnsi="仿宋" w:eastAsia="仿宋" w:cs="仿宋"/>
                <w:color w:val="000000"/>
                <w:sz w:val="24"/>
                <w:szCs w:val="24"/>
              </w:rPr>
              <w:t>宝山光伏</w:t>
            </w:r>
          </w:p>
        </w:tc>
        <w:tc>
          <w:tcPr>
            <w:tcW w:w="1238"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s="宋体"/>
                <w:color w:val="000000"/>
                <w:sz w:val="24"/>
                <w:szCs w:val="24"/>
              </w:rPr>
            </w:pPr>
            <w:r>
              <w:rPr>
                <w:rFonts w:hint="eastAsia" w:ascii="仿宋" w:hAnsi="仿宋" w:eastAsia="仿宋"/>
                <w:color w:val="000000"/>
                <w:sz w:val="24"/>
                <w:szCs w:val="24"/>
              </w:rPr>
              <w:t>4</w:t>
            </w:r>
          </w:p>
        </w:tc>
        <w:tc>
          <w:tcPr>
            <w:tcW w:w="2002"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color w:val="000000"/>
                <w:sz w:val="24"/>
                <w:szCs w:val="24"/>
              </w:rPr>
            </w:pPr>
            <w:r>
              <w:rPr>
                <w:rFonts w:ascii="Times New Roman" w:hAnsi="Times New Roman"/>
                <w:color w:val="000000"/>
                <w:sz w:val="24"/>
                <w:szCs w:val="24"/>
              </w:rPr>
              <w:t>2</w:t>
            </w:r>
          </w:p>
        </w:tc>
        <w:tc>
          <w:tcPr>
            <w:tcW w:w="1229"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s="宋体"/>
                <w:color w:val="000000"/>
                <w:sz w:val="24"/>
                <w:szCs w:val="24"/>
              </w:rPr>
            </w:pPr>
            <w:r>
              <w:rPr>
                <w:rFonts w:hint="eastAsia" w:ascii="仿宋" w:hAnsi="仿宋" w:eastAsia="仿宋"/>
                <w:color w:val="00000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93"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rPr>
            </w:pPr>
          </w:p>
        </w:tc>
        <w:tc>
          <w:tcPr>
            <w:tcW w:w="1274"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p>
        </w:tc>
        <w:tc>
          <w:tcPr>
            <w:tcW w:w="1904"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Times New Roman" w:hAnsi="Times New Roman"/>
                <w:sz w:val="24"/>
                <w:szCs w:val="24"/>
              </w:rPr>
            </w:pPr>
            <w:r>
              <w:rPr>
                <w:rFonts w:hint="eastAsia" w:ascii="仿宋" w:hAnsi="仿宋" w:eastAsia="仿宋" w:cs="仿宋"/>
                <w:color w:val="000000"/>
                <w:sz w:val="24"/>
                <w:szCs w:val="24"/>
              </w:rPr>
              <w:t>种羊场光伏</w:t>
            </w:r>
          </w:p>
        </w:tc>
        <w:tc>
          <w:tcPr>
            <w:tcW w:w="1238"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s="宋体"/>
                <w:color w:val="000000"/>
                <w:sz w:val="24"/>
                <w:szCs w:val="24"/>
              </w:rPr>
            </w:pPr>
            <w:r>
              <w:rPr>
                <w:rFonts w:hint="eastAsia" w:ascii="仿宋" w:hAnsi="仿宋" w:eastAsia="仿宋"/>
                <w:color w:val="000000"/>
                <w:sz w:val="24"/>
                <w:szCs w:val="24"/>
              </w:rPr>
              <w:t>4</w:t>
            </w:r>
          </w:p>
        </w:tc>
        <w:tc>
          <w:tcPr>
            <w:tcW w:w="2002"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color w:val="000000"/>
                <w:sz w:val="24"/>
                <w:szCs w:val="24"/>
              </w:rPr>
            </w:pPr>
            <w:r>
              <w:rPr>
                <w:rFonts w:ascii="Times New Roman" w:hAnsi="Times New Roman"/>
                <w:color w:val="000000"/>
                <w:sz w:val="24"/>
                <w:szCs w:val="24"/>
              </w:rPr>
              <w:t>4</w:t>
            </w:r>
          </w:p>
        </w:tc>
        <w:tc>
          <w:tcPr>
            <w:tcW w:w="1229"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s="宋体"/>
                <w:color w:val="000000"/>
                <w:sz w:val="24"/>
                <w:szCs w:val="24"/>
              </w:rPr>
            </w:pPr>
            <w:r>
              <w:rPr>
                <w:rFonts w:hint="eastAsia" w:ascii="仿宋" w:hAnsi="仿宋" w:eastAsia="仿宋"/>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93"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rPr>
            </w:pPr>
          </w:p>
        </w:tc>
        <w:tc>
          <w:tcPr>
            <w:tcW w:w="1274" w:type="dxa"/>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r>
              <w:rPr>
                <w:rFonts w:hint="eastAsia" w:ascii="Times New Roman" w:hAnsi="Times New Roman"/>
                <w:kern w:val="0"/>
                <w:sz w:val="24"/>
                <w:szCs w:val="24"/>
              </w:rPr>
              <w:t>镇赉县</w:t>
            </w:r>
          </w:p>
        </w:tc>
        <w:tc>
          <w:tcPr>
            <w:tcW w:w="1904"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架其</w:t>
            </w:r>
            <w:r>
              <w:rPr>
                <w:rFonts w:ascii="仿宋" w:hAnsi="仿宋" w:eastAsia="仿宋" w:cs="仿宋"/>
                <w:color w:val="000000"/>
                <w:sz w:val="24"/>
                <w:szCs w:val="24"/>
              </w:rPr>
              <w:t>风光场</w:t>
            </w:r>
          </w:p>
        </w:tc>
        <w:tc>
          <w:tcPr>
            <w:tcW w:w="1238"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s="仿宋"/>
                <w:color w:val="000000"/>
                <w:kern w:val="0"/>
                <w:sz w:val="24"/>
                <w:szCs w:val="24"/>
              </w:rPr>
            </w:pPr>
            <w:r>
              <w:rPr>
                <w:rFonts w:ascii="仿宋" w:hAnsi="仿宋" w:eastAsia="仿宋" w:cs="仿宋"/>
                <w:color w:val="000000"/>
                <w:kern w:val="0"/>
                <w:sz w:val="24"/>
                <w:szCs w:val="24"/>
              </w:rPr>
              <w:t>68</w:t>
            </w:r>
          </w:p>
        </w:tc>
        <w:tc>
          <w:tcPr>
            <w:tcW w:w="2002"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s="仿宋"/>
                <w:color w:val="000000"/>
                <w:kern w:val="0"/>
                <w:sz w:val="24"/>
                <w:szCs w:val="24"/>
              </w:rPr>
            </w:pPr>
            <w:r>
              <w:rPr>
                <w:rFonts w:ascii="仿宋" w:hAnsi="仿宋" w:eastAsia="仿宋" w:cs="仿宋"/>
                <w:color w:val="000000"/>
                <w:kern w:val="0"/>
                <w:sz w:val="24"/>
                <w:szCs w:val="24"/>
              </w:rPr>
              <w:t>4</w:t>
            </w:r>
          </w:p>
        </w:tc>
        <w:tc>
          <w:tcPr>
            <w:tcW w:w="1229"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s="仿宋"/>
                <w:color w:val="000000"/>
                <w:kern w:val="0"/>
                <w:sz w:val="24"/>
                <w:szCs w:val="24"/>
              </w:rPr>
            </w:pPr>
            <w:r>
              <w:rPr>
                <w:rFonts w:ascii="仿宋" w:hAnsi="仿宋" w:eastAsia="仿宋" w:cs="仿宋"/>
                <w:color w:val="00000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93"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rPr>
            </w:pPr>
          </w:p>
        </w:tc>
        <w:tc>
          <w:tcPr>
            <w:tcW w:w="1274"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p>
        </w:tc>
        <w:tc>
          <w:tcPr>
            <w:tcW w:w="1904"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新立光伏</w:t>
            </w:r>
          </w:p>
        </w:tc>
        <w:tc>
          <w:tcPr>
            <w:tcW w:w="1238"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3</w:t>
            </w:r>
          </w:p>
        </w:tc>
        <w:tc>
          <w:tcPr>
            <w:tcW w:w="2002"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2</w:t>
            </w:r>
          </w:p>
        </w:tc>
        <w:tc>
          <w:tcPr>
            <w:tcW w:w="1229"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93" w:type="dxa"/>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lang w:val="en-US" w:eastAsia="zh-CN"/>
              </w:rPr>
            </w:pPr>
            <w:r>
              <w:rPr>
                <w:rFonts w:hint="eastAsia"/>
                <w:sz w:val="28"/>
                <w:szCs w:val="28"/>
                <w:lang w:val="en-US" w:eastAsia="zh-CN"/>
              </w:rPr>
              <w:t>30-50</w:t>
            </w:r>
          </w:p>
        </w:tc>
        <w:tc>
          <w:tcPr>
            <w:tcW w:w="1274" w:type="dxa"/>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r>
              <w:rPr>
                <w:rFonts w:hint="eastAsia" w:ascii="Times New Roman" w:hAnsi="Times New Roman"/>
                <w:kern w:val="0"/>
                <w:sz w:val="24"/>
                <w:szCs w:val="24"/>
              </w:rPr>
              <w:t>镇赉县</w:t>
            </w:r>
          </w:p>
        </w:tc>
        <w:tc>
          <w:tcPr>
            <w:tcW w:w="1904"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长安光伏</w:t>
            </w:r>
          </w:p>
        </w:tc>
        <w:tc>
          <w:tcPr>
            <w:tcW w:w="123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olor w:val="000000"/>
                <w:sz w:val="24"/>
                <w:szCs w:val="24"/>
              </w:rPr>
            </w:pPr>
            <w:r>
              <w:rPr>
                <w:rFonts w:hint="eastAsia" w:ascii="仿宋" w:hAnsi="仿宋" w:eastAsia="仿宋"/>
                <w:color w:val="000000"/>
                <w:sz w:val="24"/>
                <w:szCs w:val="24"/>
              </w:rPr>
              <w:t>13</w:t>
            </w:r>
          </w:p>
        </w:tc>
        <w:tc>
          <w:tcPr>
            <w:tcW w:w="2002"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olor w:val="000000"/>
                <w:sz w:val="24"/>
                <w:szCs w:val="24"/>
              </w:rPr>
            </w:pPr>
            <w:r>
              <w:rPr>
                <w:rFonts w:hint="eastAsia" w:ascii="仿宋" w:hAnsi="仿宋" w:eastAsia="仿宋"/>
                <w:color w:val="000000"/>
                <w:sz w:val="24"/>
                <w:szCs w:val="24"/>
              </w:rPr>
              <w:t>12</w:t>
            </w:r>
          </w:p>
        </w:tc>
        <w:tc>
          <w:tcPr>
            <w:tcW w:w="1229"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olor w:val="000000"/>
                <w:sz w:val="24"/>
                <w:szCs w:val="24"/>
              </w:rPr>
            </w:pPr>
            <w:r>
              <w:rPr>
                <w:rFonts w:hint="eastAsia" w:ascii="仿宋" w:hAnsi="仿宋" w:eastAsia="仿宋"/>
                <w:color w:val="000000"/>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93"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rPr>
            </w:pPr>
          </w:p>
        </w:tc>
        <w:tc>
          <w:tcPr>
            <w:tcW w:w="1274"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p>
        </w:tc>
        <w:tc>
          <w:tcPr>
            <w:tcW w:w="1904"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三家子光伏</w:t>
            </w:r>
          </w:p>
        </w:tc>
        <w:tc>
          <w:tcPr>
            <w:tcW w:w="1238"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olor w:val="000000"/>
                <w:sz w:val="24"/>
                <w:szCs w:val="24"/>
              </w:rPr>
            </w:pPr>
            <w:r>
              <w:rPr>
                <w:rFonts w:hint="eastAsia" w:ascii="仿宋" w:hAnsi="仿宋" w:eastAsia="仿宋"/>
                <w:color w:val="000000"/>
                <w:sz w:val="24"/>
                <w:szCs w:val="24"/>
              </w:rPr>
              <w:t>8</w:t>
            </w:r>
          </w:p>
        </w:tc>
        <w:tc>
          <w:tcPr>
            <w:tcW w:w="2002"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olor w:val="000000"/>
                <w:sz w:val="24"/>
                <w:szCs w:val="24"/>
              </w:rPr>
            </w:pPr>
            <w:r>
              <w:rPr>
                <w:rFonts w:hint="eastAsia" w:ascii="仿宋" w:hAnsi="仿宋" w:eastAsia="仿宋"/>
                <w:color w:val="000000"/>
                <w:sz w:val="24"/>
                <w:szCs w:val="24"/>
              </w:rPr>
              <w:t>8</w:t>
            </w:r>
          </w:p>
        </w:tc>
        <w:tc>
          <w:tcPr>
            <w:tcW w:w="1229"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olor w:val="000000"/>
                <w:sz w:val="24"/>
                <w:szCs w:val="24"/>
              </w:rPr>
            </w:pPr>
            <w:r>
              <w:rPr>
                <w:rFonts w:hint="eastAsia" w:ascii="仿宋" w:hAnsi="仿宋" w:eastAsia="仿宋"/>
                <w:color w:val="000000"/>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93"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rPr>
            </w:pPr>
          </w:p>
        </w:tc>
        <w:tc>
          <w:tcPr>
            <w:tcW w:w="1274"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p>
        </w:tc>
        <w:tc>
          <w:tcPr>
            <w:tcW w:w="1904"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四海光伏</w:t>
            </w:r>
          </w:p>
        </w:tc>
        <w:tc>
          <w:tcPr>
            <w:tcW w:w="1238"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olor w:val="000000"/>
                <w:sz w:val="24"/>
                <w:szCs w:val="24"/>
              </w:rPr>
            </w:pPr>
            <w:r>
              <w:rPr>
                <w:rFonts w:hint="eastAsia" w:ascii="仿宋" w:hAnsi="仿宋" w:eastAsia="仿宋"/>
                <w:color w:val="000000"/>
                <w:sz w:val="24"/>
                <w:szCs w:val="24"/>
              </w:rPr>
              <w:t>4</w:t>
            </w:r>
          </w:p>
        </w:tc>
        <w:tc>
          <w:tcPr>
            <w:tcW w:w="2002"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olor w:val="000000"/>
                <w:sz w:val="24"/>
                <w:szCs w:val="24"/>
              </w:rPr>
            </w:pPr>
            <w:r>
              <w:rPr>
                <w:rFonts w:hint="eastAsia" w:ascii="仿宋" w:hAnsi="仿宋" w:eastAsia="仿宋"/>
                <w:color w:val="000000"/>
                <w:sz w:val="24"/>
                <w:szCs w:val="24"/>
              </w:rPr>
              <w:t>4</w:t>
            </w:r>
          </w:p>
        </w:tc>
        <w:tc>
          <w:tcPr>
            <w:tcW w:w="1229"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olor w:val="000000"/>
                <w:sz w:val="24"/>
                <w:szCs w:val="24"/>
              </w:rPr>
            </w:pPr>
            <w:r>
              <w:rPr>
                <w:rFonts w:hint="eastAsia" w:ascii="仿宋" w:hAnsi="仿宋" w:eastAsia="仿宋"/>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93"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rPr>
            </w:pPr>
          </w:p>
        </w:tc>
        <w:tc>
          <w:tcPr>
            <w:tcW w:w="127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r>
              <w:rPr>
                <w:rFonts w:hint="eastAsia" w:ascii="Times New Roman" w:hAnsi="Times New Roman"/>
                <w:kern w:val="0"/>
                <w:sz w:val="24"/>
                <w:szCs w:val="24"/>
              </w:rPr>
              <w:t>大安市</w:t>
            </w:r>
          </w:p>
        </w:tc>
        <w:tc>
          <w:tcPr>
            <w:tcW w:w="1904"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东风马场光伏</w:t>
            </w:r>
          </w:p>
        </w:tc>
        <w:tc>
          <w:tcPr>
            <w:tcW w:w="1238"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olor w:val="000000"/>
                <w:sz w:val="24"/>
                <w:szCs w:val="24"/>
              </w:rPr>
            </w:pPr>
            <w:r>
              <w:rPr>
                <w:rFonts w:hint="eastAsia" w:ascii="仿宋" w:hAnsi="仿宋" w:eastAsia="仿宋"/>
                <w:color w:val="000000"/>
                <w:sz w:val="24"/>
                <w:szCs w:val="24"/>
              </w:rPr>
              <w:t>24</w:t>
            </w:r>
          </w:p>
        </w:tc>
        <w:tc>
          <w:tcPr>
            <w:tcW w:w="2002"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olor w:val="000000"/>
                <w:sz w:val="24"/>
                <w:szCs w:val="24"/>
              </w:rPr>
            </w:pPr>
            <w:r>
              <w:rPr>
                <w:rFonts w:hint="eastAsia" w:ascii="仿宋" w:hAnsi="仿宋" w:eastAsia="仿宋"/>
                <w:color w:val="000000"/>
                <w:sz w:val="24"/>
                <w:szCs w:val="24"/>
              </w:rPr>
              <w:t>12</w:t>
            </w:r>
          </w:p>
        </w:tc>
        <w:tc>
          <w:tcPr>
            <w:tcW w:w="1229"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olor w:val="000000"/>
                <w:sz w:val="24"/>
                <w:szCs w:val="24"/>
              </w:rPr>
            </w:pPr>
            <w:r>
              <w:rPr>
                <w:rFonts w:hint="eastAsia" w:ascii="仿宋" w:hAnsi="仿宋" w:eastAsia="仿宋"/>
                <w:color w:val="000000"/>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93"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rPr>
            </w:pPr>
          </w:p>
        </w:tc>
        <w:tc>
          <w:tcPr>
            <w:tcW w:w="1274" w:type="dxa"/>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r>
              <w:rPr>
                <w:rFonts w:hint="eastAsia" w:ascii="Times New Roman" w:hAnsi="Times New Roman"/>
                <w:kern w:val="0"/>
                <w:sz w:val="24"/>
                <w:szCs w:val="24"/>
              </w:rPr>
              <w:t>洮南市</w:t>
            </w:r>
          </w:p>
        </w:tc>
        <w:tc>
          <w:tcPr>
            <w:tcW w:w="1904"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大通光伏</w:t>
            </w:r>
          </w:p>
        </w:tc>
        <w:tc>
          <w:tcPr>
            <w:tcW w:w="1238"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olor w:val="000000"/>
                <w:sz w:val="24"/>
                <w:szCs w:val="24"/>
              </w:rPr>
            </w:pPr>
            <w:r>
              <w:rPr>
                <w:rFonts w:hint="eastAsia" w:ascii="仿宋" w:hAnsi="仿宋" w:eastAsia="仿宋"/>
                <w:color w:val="000000"/>
                <w:sz w:val="24"/>
                <w:szCs w:val="24"/>
              </w:rPr>
              <w:t>4</w:t>
            </w:r>
          </w:p>
        </w:tc>
        <w:tc>
          <w:tcPr>
            <w:tcW w:w="2002"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olor w:val="000000"/>
                <w:sz w:val="24"/>
                <w:szCs w:val="24"/>
              </w:rPr>
            </w:pPr>
            <w:r>
              <w:rPr>
                <w:rFonts w:hint="eastAsia" w:ascii="仿宋" w:hAnsi="仿宋" w:eastAsia="仿宋"/>
                <w:color w:val="000000"/>
                <w:sz w:val="24"/>
                <w:szCs w:val="24"/>
              </w:rPr>
              <w:t>4</w:t>
            </w:r>
          </w:p>
        </w:tc>
        <w:tc>
          <w:tcPr>
            <w:tcW w:w="1229"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olor w:val="000000"/>
                <w:sz w:val="24"/>
                <w:szCs w:val="24"/>
              </w:rPr>
            </w:pPr>
            <w:r>
              <w:rPr>
                <w:rFonts w:hint="eastAsia" w:ascii="仿宋" w:hAnsi="仿宋" w:eastAsia="仿宋"/>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93"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lang w:val="en-US" w:eastAsia="zh-CN"/>
              </w:rPr>
            </w:pPr>
          </w:p>
        </w:tc>
        <w:tc>
          <w:tcPr>
            <w:tcW w:w="1274"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p>
        </w:tc>
        <w:tc>
          <w:tcPr>
            <w:tcW w:w="1904"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张家店</w:t>
            </w:r>
            <w:r>
              <w:rPr>
                <w:rFonts w:ascii="仿宋" w:hAnsi="仿宋" w:eastAsia="仿宋" w:cs="仿宋"/>
                <w:color w:val="000000"/>
                <w:sz w:val="24"/>
                <w:szCs w:val="24"/>
              </w:rPr>
              <w:t>光伏</w:t>
            </w:r>
          </w:p>
        </w:tc>
        <w:tc>
          <w:tcPr>
            <w:tcW w:w="1238"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olor w:val="000000"/>
                <w:sz w:val="24"/>
                <w:szCs w:val="24"/>
              </w:rPr>
            </w:pPr>
            <w:r>
              <w:rPr>
                <w:rFonts w:hint="eastAsia" w:ascii="仿宋" w:hAnsi="仿宋" w:eastAsia="仿宋"/>
                <w:color w:val="000000"/>
                <w:sz w:val="24"/>
                <w:szCs w:val="24"/>
              </w:rPr>
              <w:t>10</w:t>
            </w:r>
          </w:p>
        </w:tc>
        <w:tc>
          <w:tcPr>
            <w:tcW w:w="2002"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olor w:val="000000"/>
                <w:sz w:val="24"/>
                <w:szCs w:val="24"/>
              </w:rPr>
            </w:pPr>
            <w:r>
              <w:rPr>
                <w:rFonts w:hint="eastAsia" w:ascii="仿宋" w:hAnsi="仿宋" w:eastAsia="仿宋"/>
                <w:color w:val="000000"/>
                <w:sz w:val="24"/>
                <w:szCs w:val="24"/>
              </w:rPr>
              <w:t>10</w:t>
            </w:r>
          </w:p>
        </w:tc>
        <w:tc>
          <w:tcPr>
            <w:tcW w:w="1229"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olor w:val="000000"/>
                <w:sz w:val="24"/>
                <w:szCs w:val="24"/>
              </w:rPr>
            </w:pPr>
            <w:r>
              <w:rPr>
                <w:rFonts w:hint="eastAsia" w:ascii="仿宋" w:hAnsi="仿宋" w:eastAsia="仿宋"/>
                <w:color w:val="000000"/>
                <w:sz w:val="24"/>
                <w:szCs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93" w:type="dxa"/>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rPr>
            </w:pPr>
            <w:r>
              <w:rPr>
                <w:rFonts w:hint="eastAsia"/>
                <w:sz w:val="28"/>
                <w:szCs w:val="28"/>
              </w:rPr>
              <w:t>50-70</w:t>
            </w:r>
          </w:p>
        </w:tc>
        <w:tc>
          <w:tcPr>
            <w:tcW w:w="127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r>
              <w:rPr>
                <w:rFonts w:hint="eastAsia" w:ascii="Times New Roman" w:hAnsi="Times New Roman"/>
                <w:kern w:val="0"/>
                <w:sz w:val="24"/>
                <w:szCs w:val="24"/>
              </w:rPr>
              <w:t>洮北区</w:t>
            </w:r>
          </w:p>
        </w:tc>
        <w:tc>
          <w:tcPr>
            <w:tcW w:w="1904"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石头井子光伏</w:t>
            </w:r>
          </w:p>
        </w:tc>
        <w:tc>
          <w:tcPr>
            <w:tcW w:w="1238"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2002"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s="仿宋"/>
                <w:color w:val="000000"/>
                <w:kern w:val="0"/>
                <w:sz w:val="24"/>
                <w:szCs w:val="24"/>
              </w:rPr>
            </w:pPr>
            <w:r>
              <w:rPr>
                <w:rFonts w:ascii="仿宋" w:hAnsi="仿宋" w:eastAsia="仿宋" w:cs="仿宋"/>
                <w:color w:val="000000"/>
                <w:kern w:val="0"/>
                <w:sz w:val="24"/>
                <w:szCs w:val="24"/>
              </w:rPr>
              <w:t>2</w:t>
            </w:r>
          </w:p>
        </w:tc>
        <w:tc>
          <w:tcPr>
            <w:tcW w:w="1229"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93"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rPr>
            </w:pPr>
          </w:p>
        </w:tc>
        <w:tc>
          <w:tcPr>
            <w:tcW w:w="1274" w:type="dxa"/>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r>
              <w:rPr>
                <w:rFonts w:hint="eastAsia" w:ascii="Times New Roman" w:hAnsi="Times New Roman"/>
                <w:kern w:val="0"/>
                <w:sz w:val="24"/>
                <w:szCs w:val="24"/>
              </w:rPr>
              <w:t>镇赉县</w:t>
            </w:r>
          </w:p>
        </w:tc>
        <w:tc>
          <w:tcPr>
            <w:tcW w:w="1904"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洋沙泡光伏</w:t>
            </w:r>
          </w:p>
        </w:tc>
        <w:tc>
          <w:tcPr>
            <w:tcW w:w="1238"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33</w:t>
            </w:r>
          </w:p>
        </w:tc>
        <w:tc>
          <w:tcPr>
            <w:tcW w:w="2002"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33</w:t>
            </w:r>
          </w:p>
        </w:tc>
        <w:tc>
          <w:tcPr>
            <w:tcW w:w="1229"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93"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rPr>
            </w:pPr>
          </w:p>
        </w:tc>
        <w:tc>
          <w:tcPr>
            <w:tcW w:w="1274"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p>
        </w:tc>
        <w:tc>
          <w:tcPr>
            <w:tcW w:w="1904"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西力吐光伏</w:t>
            </w:r>
          </w:p>
        </w:tc>
        <w:tc>
          <w:tcPr>
            <w:tcW w:w="1238"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13</w:t>
            </w:r>
          </w:p>
        </w:tc>
        <w:tc>
          <w:tcPr>
            <w:tcW w:w="2002"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12</w:t>
            </w:r>
          </w:p>
        </w:tc>
        <w:tc>
          <w:tcPr>
            <w:tcW w:w="1229"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93"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rPr>
            </w:pPr>
          </w:p>
        </w:tc>
        <w:tc>
          <w:tcPr>
            <w:tcW w:w="1274" w:type="dxa"/>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r>
              <w:rPr>
                <w:rFonts w:hint="eastAsia" w:ascii="Times New Roman" w:hAnsi="Times New Roman"/>
                <w:kern w:val="0"/>
                <w:sz w:val="24"/>
                <w:szCs w:val="24"/>
              </w:rPr>
              <w:t>大安市</w:t>
            </w:r>
          </w:p>
        </w:tc>
        <w:tc>
          <w:tcPr>
            <w:tcW w:w="1904"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新平安光伏</w:t>
            </w:r>
          </w:p>
        </w:tc>
        <w:tc>
          <w:tcPr>
            <w:tcW w:w="1238"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5</w:t>
            </w:r>
          </w:p>
        </w:tc>
        <w:tc>
          <w:tcPr>
            <w:tcW w:w="2002"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5</w:t>
            </w:r>
          </w:p>
        </w:tc>
        <w:tc>
          <w:tcPr>
            <w:tcW w:w="1229"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93"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rPr>
            </w:pPr>
          </w:p>
        </w:tc>
        <w:tc>
          <w:tcPr>
            <w:tcW w:w="1274"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p>
        </w:tc>
        <w:tc>
          <w:tcPr>
            <w:tcW w:w="1904"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丰收</w:t>
            </w:r>
            <w:r>
              <w:rPr>
                <w:rFonts w:ascii="仿宋" w:hAnsi="仿宋" w:eastAsia="仿宋" w:cs="仿宋"/>
                <w:color w:val="000000"/>
                <w:sz w:val="24"/>
                <w:szCs w:val="24"/>
              </w:rPr>
              <w:t>光伏</w:t>
            </w:r>
          </w:p>
        </w:tc>
        <w:tc>
          <w:tcPr>
            <w:tcW w:w="1238"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10</w:t>
            </w:r>
          </w:p>
        </w:tc>
        <w:tc>
          <w:tcPr>
            <w:tcW w:w="2002"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6</w:t>
            </w:r>
          </w:p>
        </w:tc>
        <w:tc>
          <w:tcPr>
            <w:tcW w:w="1229"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1</w:t>
            </w:r>
            <w:r>
              <w:rPr>
                <w:rFonts w:ascii="仿宋" w:hAnsi="仿宋" w:eastAsia="仿宋" w:cs="仿宋"/>
                <w:color w:val="00000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93"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rPr>
            </w:pPr>
          </w:p>
        </w:tc>
        <w:tc>
          <w:tcPr>
            <w:tcW w:w="127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r>
              <w:rPr>
                <w:rFonts w:hint="eastAsia" w:ascii="Times New Roman" w:hAnsi="Times New Roman"/>
                <w:kern w:val="0"/>
                <w:sz w:val="24"/>
                <w:szCs w:val="24"/>
              </w:rPr>
              <w:t>洮南市</w:t>
            </w:r>
          </w:p>
        </w:tc>
        <w:tc>
          <w:tcPr>
            <w:tcW w:w="1904"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东方红光伏</w:t>
            </w:r>
          </w:p>
        </w:tc>
        <w:tc>
          <w:tcPr>
            <w:tcW w:w="1238"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12</w:t>
            </w:r>
          </w:p>
        </w:tc>
        <w:tc>
          <w:tcPr>
            <w:tcW w:w="2002"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11</w:t>
            </w:r>
          </w:p>
        </w:tc>
        <w:tc>
          <w:tcPr>
            <w:tcW w:w="1229"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93" w:type="dxa"/>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rPr>
            </w:pPr>
            <w:r>
              <w:rPr>
                <w:rFonts w:hint="eastAsia"/>
                <w:sz w:val="28"/>
                <w:szCs w:val="28"/>
              </w:rPr>
              <w:t>70-80</w:t>
            </w:r>
          </w:p>
        </w:tc>
        <w:tc>
          <w:tcPr>
            <w:tcW w:w="127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r>
              <w:rPr>
                <w:rFonts w:hint="eastAsia" w:ascii="Times New Roman" w:hAnsi="Times New Roman"/>
                <w:kern w:val="0"/>
                <w:sz w:val="24"/>
                <w:szCs w:val="24"/>
              </w:rPr>
              <w:t>镇赉县</w:t>
            </w:r>
          </w:p>
        </w:tc>
        <w:tc>
          <w:tcPr>
            <w:tcW w:w="1904"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铁力光伏</w:t>
            </w:r>
          </w:p>
        </w:tc>
        <w:tc>
          <w:tcPr>
            <w:tcW w:w="1238"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11</w:t>
            </w:r>
          </w:p>
        </w:tc>
        <w:tc>
          <w:tcPr>
            <w:tcW w:w="2002"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11</w:t>
            </w:r>
          </w:p>
        </w:tc>
        <w:tc>
          <w:tcPr>
            <w:tcW w:w="1229"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93"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rPr>
            </w:pPr>
          </w:p>
        </w:tc>
        <w:tc>
          <w:tcPr>
            <w:tcW w:w="127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r>
              <w:rPr>
                <w:rFonts w:hint="eastAsia" w:ascii="Times New Roman" w:hAnsi="Times New Roman"/>
                <w:kern w:val="0"/>
                <w:sz w:val="24"/>
                <w:szCs w:val="24"/>
              </w:rPr>
              <w:t>大安市</w:t>
            </w:r>
          </w:p>
        </w:tc>
        <w:tc>
          <w:tcPr>
            <w:tcW w:w="1904"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红岗子光伏</w:t>
            </w:r>
          </w:p>
        </w:tc>
        <w:tc>
          <w:tcPr>
            <w:tcW w:w="1238"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13</w:t>
            </w:r>
          </w:p>
        </w:tc>
        <w:tc>
          <w:tcPr>
            <w:tcW w:w="2002"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7</w:t>
            </w:r>
          </w:p>
        </w:tc>
        <w:tc>
          <w:tcPr>
            <w:tcW w:w="1229"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93"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rPr>
            </w:pPr>
          </w:p>
        </w:tc>
        <w:tc>
          <w:tcPr>
            <w:tcW w:w="1274" w:type="dxa"/>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r>
              <w:rPr>
                <w:rFonts w:hint="eastAsia" w:ascii="Times New Roman" w:hAnsi="Times New Roman"/>
                <w:kern w:val="0"/>
                <w:sz w:val="24"/>
                <w:szCs w:val="24"/>
              </w:rPr>
              <w:t>通榆县</w:t>
            </w:r>
          </w:p>
        </w:tc>
        <w:tc>
          <w:tcPr>
            <w:tcW w:w="1904"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八面风</w:t>
            </w:r>
            <w:r>
              <w:rPr>
                <w:rFonts w:hint="eastAsia" w:ascii="仿宋" w:hAnsi="仿宋" w:eastAsia="仿宋" w:cs="仿宋"/>
                <w:color w:val="000000"/>
                <w:sz w:val="24"/>
                <w:szCs w:val="24"/>
              </w:rPr>
              <w:t>光</w:t>
            </w:r>
            <w:r>
              <w:rPr>
                <w:rFonts w:ascii="仿宋" w:hAnsi="仿宋" w:eastAsia="仿宋" w:cs="仿宋"/>
                <w:color w:val="000000"/>
                <w:sz w:val="24"/>
                <w:szCs w:val="24"/>
              </w:rPr>
              <w:t>场</w:t>
            </w:r>
          </w:p>
        </w:tc>
        <w:tc>
          <w:tcPr>
            <w:tcW w:w="1238"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s="仿宋"/>
                <w:color w:val="000000"/>
                <w:kern w:val="0"/>
                <w:sz w:val="24"/>
                <w:szCs w:val="24"/>
              </w:rPr>
            </w:pPr>
            <w:r>
              <w:rPr>
                <w:rFonts w:ascii="仿宋" w:hAnsi="仿宋" w:eastAsia="仿宋" w:cs="仿宋"/>
                <w:color w:val="000000"/>
                <w:kern w:val="0"/>
                <w:sz w:val="24"/>
                <w:szCs w:val="24"/>
              </w:rPr>
              <w:t>359</w:t>
            </w:r>
          </w:p>
        </w:tc>
        <w:tc>
          <w:tcPr>
            <w:tcW w:w="2002"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s="仿宋"/>
                <w:color w:val="000000"/>
                <w:kern w:val="0"/>
                <w:sz w:val="24"/>
                <w:szCs w:val="24"/>
              </w:rPr>
            </w:pPr>
            <w:r>
              <w:rPr>
                <w:rFonts w:ascii="仿宋" w:hAnsi="仿宋" w:eastAsia="仿宋" w:cs="仿宋"/>
                <w:color w:val="000000"/>
                <w:kern w:val="0"/>
                <w:sz w:val="24"/>
                <w:szCs w:val="24"/>
              </w:rPr>
              <w:t>174</w:t>
            </w:r>
          </w:p>
        </w:tc>
        <w:tc>
          <w:tcPr>
            <w:tcW w:w="1229"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s="仿宋"/>
                <w:color w:val="000000"/>
                <w:kern w:val="0"/>
                <w:sz w:val="24"/>
                <w:szCs w:val="24"/>
              </w:rPr>
            </w:pPr>
            <w:r>
              <w:rPr>
                <w:rFonts w:ascii="仿宋" w:hAnsi="仿宋" w:eastAsia="仿宋" w:cs="仿宋"/>
                <w:color w:val="000000"/>
                <w:kern w:val="0"/>
                <w:sz w:val="24"/>
                <w:szCs w:val="24"/>
              </w:rPr>
              <w:t>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93"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rPr>
            </w:pPr>
          </w:p>
        </w:tc>
        <w:tc>
          <w:tcPr>
            <w:tcW w:w="1274"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p>
        </w:tc>
        <w:tc>
          <w:tcPr>
            <w:tcW w:w="1904"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四井子</w:t>
            </w:r>
            <w:r>
              <w:rPr>
                <w:rFonts w:ascii="仿宋" w:hAnsi="仿宋" w:eastAsia="仿宋" w:cs="仿宋"/>
                <w:color w:val="000000"/>
                <w:sz w:val="24"/>
                <w:szCs w:val="24"/>
              </w:rPr>
              <w:t>风光场</w:t>
            </w:r>
          </w:p>
        </w:tc>
        <w:tc>
          <w:tcPr>
            <w:tcW w:w="1238"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s="仿宋"/>
                <w:color w:val="000000"/>
                <w:kern w:val="0"/>
                <w:sz w:val="24"/>
                <w:szCs w:val="24"/>
              </w:rPr>
            </w:pPr>
            <w:r>
              <w:rPr>
                <w:rFonts w:ascii="仿宋" w:hAnsi="仿宋" w:eastAsia="仿宋" w:cs="仿宋"/>
                <w:color w:val="000000"/>
                <w:kern w:val="0"/>
                <w:sz w:val="24"/>
                <w:szCs w:val="24"/>
              </w:rPr>
              <w:t>227</w:t>
            </w:r>
          </w:p>
        </w:tc>
        <w:tc>
          <w:tcPr>
            <w:tcW w:w="2002"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s="仿宋"/>
                <w:color w:val="000000"/>
                <w:kern w:val="0"/>
                <w:sz w:val="24"/>
                <w:szCs w:val="24"/>
              </w:rPr>
            </w:pPr>
            <w:r>
              <w:rPr>
                <w:rFonts w:ascii="仿宋" w:hAnsi="仿宋" w:eastAsia="仿宋" w:cs="仿宋"/>
                <w:color w:val="000000"/>
                <w:kern w:val="0"/>
                <w:sz w:val="24"/>
                <w:szCs w:val="24"/>
              </w:rPr>
              <w:t>159</w:t>
            </w:r>
          </w:p>
        </w:tc>
        <w:tc>
          <w:tcPr>
            <w:tcW w:w="1229" w:type="dxa"/>
            <w:shd w:val="clear" w:color="000000" w:fill="FFFFFF"/>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s="仿宋"/>
                <w:color w:val="000000"/>
                <w:kern w:val="0"/>
                <w:sz w:val="24"/>
                <w:szCs w:val="24"/>
              </w:rPr>
            </w:pPr>
            <w:r>
              <w:rPr>
                <w:rFonts w:ascii="仿宋" w:hAnsi="仿宋" w:eastAsia="仿宋" w:cs="仿宋"/>
                <w:color w:val="000000"/>
                <w:kern w:val="0"/>
                <w:sz w:val="24"/>
                <w:szCs w:val="24"/>
              </w:rPr>
              <w:t>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93" w:type="dxa"/>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sz w:val="28"/>
                <w:szCs w:val="28"/>
              </w:rPr>
            </w:pPr>
            <w:r>
              <w:rPr>
                <w:rFonts w:hint="eastAsia"/>
                <w:sz w:val="28"/>
                <w:szCs w:val="28"/>
              </w:rPr>
              <w:t>80-100</w:t>
            </w:r>
          </w:p>
        </w:tc>
        <w:tc>
          <w:tcPr>
            <w:tcW w:w="1274" w:type="dxa"/>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r>
              <w:rPr>
                <w:rFonts w:hint="eastAsia" w:ascii="Times New Roman" w:hAnsi="Times New Roman"/>
                <w:kern w:val="0"/>
                <w:sz w:val="24"/>
                <w:szCs w:val="24"/>
              </w:rPr>
              <w:t>大安市</w:t>
            </w:r>
          </w:p>
        </w:tc>
        <w:tc>
          <w:tcPr>
            <w:tcW w:w="1904"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来福光伏</w:t>
            </w:r>
          </w:p>
        </w:tc>
        <w:tc>
          <w:tcPr>
            <w:tcW w:w="1238"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17</w:t>
            </w:r>
          </w:p>
        </w:tc>
        <w:tc>
          <w:tcPr>
            <w:tcW w:w="2002"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15</w:t>
            </w:r>
          </w:p>
        </w:tc>
        <w:tc>
          <w:tcPr>
            <w:tcW w:w="1229"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93"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p>
        </w:tc>
        <w:tc>
          <w:tcPr>
            <w:tcW w:w="1274"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p>
        </w:tc>
        <w:tc>
          <w:tcPr>
            <w:tcW w:w="1904"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两家子</w:t>
            </w:r>
            <w:r>
              <w:rPr>
                <w:rFonts w:hint="eastAsia" w:ascii="仿宋" w:hAnsi="仿宋" w:eastAsia="仿宋" w:cs="仿宋"/>
                <w:color w:val="000000"/>
                <w:sz w:val="24"/>
                <w:szCs w:val="24"/>
              </w:rPr>
              <w:t>风光场</w:t>
            </w:r>
          </w:p>
        </w:tc>
        <w:tc>
          <w:tcPr>
            <w:tcW w:w="1238"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375</w:t>
            </w:r>
          </w:p>
        </w:tc>
        <w:tc>
          <w:tcPr>
            <w:tcW w:w="2002"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200</w:t>
            </w:r>
          </w:p>
        </w:tc>
        <w:tc>
          <w:tcPr>
            <w:tcW w:w="1229"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93"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p>
        </w:tc>
        <w:tc>
          <w:tcPr>
            <w:tcW w:w="1274"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p>
        </w:tc>
        <w:tc>
          <w:tcPr>
            <w:tcW w:w="1904"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幸福光伏</w:t>
            </w:r>
          </w:p>
        </w:tc>
        <w:tc>
          <w:tcPr>
            <w:tcW w:w="1238"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4</w:t>
            </w:r>
          </w:p>
        </w:tc>
        <w:tc>
          <w:tcPr>
            <w:tcW w:w="2002"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4</w:t>
            </w:r>
          </w:p>
        </w:tc>
        <w:tc>
          <w:tcPr>
            <w:tcW w:w="1229"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93"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kern w:val="0"/>
                <w:sz w:val="24"/>
                <w:szCs w:val="24"/>
              </w:rPr>
            </w:pPr>
          </w:p>
        </w:tc>
        <w:tc>
          <w:tcPr>
            <w:tcW w:w="1274" w:type="dxa"/>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r>
              <w:rPr>
                <w:rFonts w:hint="eastAsia" w:ascii="Times New Roman" w:hAnsi="Times New Roman"/>
                <w:kern w:val="0"/>
                <w:sz w:val="24"/>
                <w:szCs w:val="24"/>
              </w:rPr>
              <w:t>通榆县</w:t>
            </w:r>
          </w:p>
        </w:tc>
        <w:tc>
          <w:tcPr>
            <w:tcW w:w="1904"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和平光伏</w:t>
            </w:r>
          </w:p>
        </w:tc>
        <w:tc>
          <w:tcPr>
            <w:tcW w:w="1238"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10</w:t>
            </w:r>
          </w:p>
        </w:tc>
        <w:tc>
          <w:tcPr>
            <w:tcW w:w="2002"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5</w:t>
            </w:r>
          </w:p>
        </w:tc>
        <w:tc>
          <w:tcPr>
            <w:tcW w:w="1229"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ascii="仿宋" w:hAnsi="仿宋" w:eastAsia="仿宋" w:cs="仿宋"/>
                <w:color w:val="000000"/>
                <w:sz w:val="24"/>
                <w:szCs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93"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p>
        </w:tc>
        <w:tc>
          <w:tcPr>
            <w:tcW w:w="1274"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kern w:val="0"/>
                <w:sz w:val="24"/>
                <w:szCs w:val="24"/>
              </w:rPr>
            </w:pPr>
          </w:p>
        </w:tc>
        <w:tc>
          <w:tcPr>
            <w:tcW w:w="1904"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什花道</w:t>
            </w:r>
            <w:r>
              <w:rPr>
                <w:rFonts w:ascii="仿宋" w:hAnsi="仿宋" w:eastAsia="仿宋" w:cs="仿宋"/>
                <w:color w:val="000000"/>
                <w:sz w:val="24"/>
                <w:szCs w:val="24"/>
              </w:rPr>
              <w:t>风光场</w:t>
            </w:r>
          </w:p>
        </w:tc>
        <w:tc>
          <w:tcPr>
            <w:tcW w:w="1238"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836</w:t>
            </w:r>
          </w:p>
        </w:tc>
        <w:tc>
          <w:tcPr>
            <w:tcW w:w="2002"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380</w:t>
            </w:r>
          </w:p>
        </w:tc>
        <w:tc>
          <w:tcPr>
            <w:tcW w:w="1229"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293"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合</w:t>
            </w:r>
            <w:r>
              <w:rPr>
                <w:rFonts w:hint="eastAsia" w:ascii="仿宋" w:hAnsi="仿宋" w:eastAsia="仿宋" w:cs="仿宋"/>
                <w:b/>
                <w:color w:val="000000"/>
                <w:sz w:val="24"/>
                <w:szCs w:val="24"/>
                <w:lang w:val="en-US" w:eastAsia="zh-CN"/>
              </w:rPr>
              <w:t xml:space="preserve">  </w:t>
            </w:r>
            <w:r>
              <w:rPr>
                <w:rFonts w:hint="eastAsia" w:ascii="仿宋" w:hAnsi="仿宋" w:eastAsia="仿宋" w:cs="仿宋"/>
                <w:b/>
                <w:color w:val="000000"/>
                <w:sz w:val="24"/>
                <w:szCs w:val="24"/>
                <w:lang w:eastAsia="zh-CN"/>
              </w:rPr>
              <w:t>计</w:t>
            </w:r>
          </w:p>
        </w:tc>
        <w:tc>
          <w:tcPr>
            <w:tcW w:w="1274"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仿宋" w:hAnsi="仿宋" w:eastAsia="仿宋" w:cs="仿宋"/>
                <w:b/>
                <w:color w:val="000000"/>
                <w:sz w:val="24"/>
                <w:szCs w:val="24"/>
                <w:lang w:eastAsia="zh-CN"/>
              </w:rPr>
            </w:pPr>
          </w:p>
        </w:tc>
        <w:tc>
          <w:tcPr>
            <w:tcW w:w="1904"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仿宋" w:hAnsi="仿宋" w:eastAsia="仿宋" w:cs="仿宋"/>
                <w:b/>
                <w:color w:val="000000"/>
                <w:sz w:val="24"/>
                <w:szCs w:val="24"/>
                <w:lang w:eastAsia="zh-CN"/>
              </w:rPr>
            </w:pPr>
          </w:p>
        </w:tc>
        <w:tc>
          <w:tcPr>
            <w:tcW w:w="1238"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仿宋" w:hAnsi="仿宋" w:eastAsia="仿宋" w:cs="仿宋"/>
                <w:b/>
                <w:color w:val="000000"/>
                <w:sz w:val="24"/>
                <w:szCs w:val="24"/>
                <w:lang w:val="en-US" w:eastAsia="zh-CN"/>
              </w:rPr>
            </w:pPr>
            <w:r>
              <w:rPr>
                <w:rFonts w:hint="eastAsia" w:ascii="仿宋" w:hAnsi="仿宋" w:eastAsia="仿宋" w:cs="仿宋"/>
                <w:b/>
                <w:color w:val="000000"/>
                <w:sz w:val="24"/>
                <w:szCs w:val="24"/>
                <w:lang w:val="en-US" w:eastAsia="zh-CN"/>
              </w:rPr>
              <w:t>2084</w:t>
            </w:r>
          </w:p>
        </w:tc>
        <w:tc>
          <w:tcPr>
            <w:tcW w:w="2002"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仿宋" w:hAnsi="仿宋" w:eastAsia="仿宋" w:cs="仿宋"/>
                <w:b/>
                <w:color w:val="000000"/>
                <w:sz w:val="24"/>
                <w:szCs w:val="24"/>
                <w:lang w:val="en-US" w:eastAsia="zh-CN"/>
              </w:rPr>
            </w:pPr>
            <w:r>
              <w:rPr>
                <w:rFonts w:hint="eastAsia" w:ascii="仿宋" w:hAnsi="仿宋" w:eastAsia="仿宋" w:cs="仿宋"/>
                <w:b/>
                <w:color w:val="000000"/>
                <w:sz w:val="24"/>
                <w:szCs w:val="24"/>
                <w:lang w:val="en-US" w:eastAsia="zh-CN"/>
              </w:rPr>
              <w:t>1099</w:t>
            </w:r>
          </w:p>
        </w:tc>
        <w:tc>
          <w:tcPr>
            <w:tcW w:w="1229" w:type="dxa"/>
            <w:shd w:val="clear" w:color="000000" w:fill="FFFFFF"/>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仿宋" w:hAnsi="仿宋" w:eastAsia="仿宋" w:cs="仿宋"/>
                <w:b/>
                <w:color w:val="000000"/>
                <w:sz w:val="24"/>
                <w:szCs w:val="24"/>
                <w:lang w:val="en-US" w:eastAsia="zh-CN"/>
              </w:rPr>
            </w:pPr>
            <w:r>
              <w:rPr>
                <w:rFonts w:hint="eastAsia" w:ascii="仿宋" w:hAnsi="仿宋" w:eastAsia="仿宋" w:cs="仿宋"/>
                <w:b/>
                <w:color w:val="000000"/>
                <w:sz w:val="24"/>
                <w:szCs w:val="24"/>
                <w:lang w:val="en-US" w:eastAsia="zh-CN"/>
              </w:rPr>
              <w:t>9280</w:t>
            </w:r>
          </w:p>
        </w:tc>
      </w:tr>
    </w:tbl>
    <w:p>
      <w:pPr>
        <w:rPr>
          <w:rFonts w:hint="eastAsia" w:ascii="仿宋" w:hAnsi="仿宋" w:eastAsia="仿宋" w:cs="仿宋"/>
          <w:kern w:val="2"/>
          <w:sz w:val="32"/>
          <w:szCs w:val="32"/>
          <w:highlight w:val="none"/>
          <w:u w:val="none"/>
          <w:lang w:val="en-US" w:eastAsia="zh-CN" w:bidi="ar-SA"/>
        </w:rPr>
        <w:sectPr>
          <w:headerReference r:id="rId5" w:type="first"/>
          <w:footerReference r:id="rId8" w:type="first"/>
          <w:headerReference r:id="rId3" w:type="default"/>
          <w:footerReference r:id="rId6" w:type="default"/>
          <w:headerReference r:id="rId4" w:type="even"/>
          <w:footerReference r:id="rId7" w:type="even"/>
          <w:pgSz w:w="11905" w:h="16837"/>
          <w:pgMar w:top="1644" w:right="1474" w:bottom="1644" w:left="1588" w:header="567" w:footer="1531" w:gutter="0"/>
          <w:pgNumType w:start="1"/>
          <w:cols w:space="0" w:num="1"/>
          <w:rtlGutter w:val="0"/>
          <w:docGrid w:type="linesAndChars" w:linePitch="623" w:charSpace="0"/>
        </w:sectPr>
      </w:pPr>
    </w:p>
    <w:p>
      <w:pPr>
        <w:pStyle w:val="16"/>
        <w:keepNext w:val="0"/>
        <w:keepLines w:val="0"/>
        <w:pageBreakBefore w:val="0"/>
        <w:widowControl w:val="0"/>
        <w:kinsoku/>
        <w:wordWrap/>
        <w:overflowPunct/>
        <w:topLinePunct w:val="0"/>
        <w:autoSpaceDE/>
        <w:autoSpaceDN/>
        <w:bidi w:val="0"/>
        <w:adjustRightInd/>
        <w:snapToGrid/>
        <w:spacing w:beforeAutospacing="0" w:after="0" w:afterLines="0" w:afterAutospacing="0" w:line="590" w:lineRule="exact"/>
        <w:ind w:left="0" w:leftChars="0" w:firstLine="0" w:firstLineChars="0"/>
        <w:jc w:val="both"/>
        <w:textAlignment w:val="auto"/>
        <w:rPr>
          <w:rFonts w:hint="eastAsia" w:ascii="黑体" w:hAnsi="黑体" w:eastAsia="黑体" w:cs="黑体"/>
          <w:kern w:val="2"/>
          <w:sz w:val="32"/>
          <w:szCs w:val="32"/>
          <w:highlight w:val="none"/>
          <w:u w:val="none"/>
          <w:lang w:val="en-US" w:eastAsia="zh-CN" w:bidi="ar-SA"/>
        </w:rPr>
      </w:pPr>
      <w:r>
        <w:rPr>
          <w:rFonts w:hint="eastAsia" w:ascii="黑体" w:hAnsi="黑体" w:eastAsia="黑体" w:cs="黑体"/>
          <w:kern w:val="2"/>
          <w:sz w:val="32"/>
          <w:szCs w:val="32"/>
          <w:highlight w:val="none"/>
          <w:u w:val="none"/>
          <w:lang w:val="en-US" w:eastAsia="zh-CN" w:bidi="ar-SA"/>
        </w:rPr>
        <w:t>附件3</w:t>
      </w:r>
    </w:p>
    <w:p>
      <w:pPr>
        <w:pStyle w:val="16"/>
        <w:keepNext w:val="0"/>
        <w:keepLines w:val="0"/>
        <w:pageBreakBefore w:val="0"/>
        <w:widowControl w:val="0"/>
        <w:kinsoku/>
        <w:wordWrap/>
        <w:overflowPunct/>
        <w:topLinePunct w:val="0"/>
        <w:autoSpaceDE/>
        <w:autoSpaceDN/>
        <w:bidi w:val="0"/>
        <w:adjustRightInd/>
        <w:snapToGrid/>
        <w:spacing w:beforeAutospacing="0" w:after="0" w:afterLines="0" w:afterAutospacing="0" w:line="580" w:lineRule="exact"/>
        <w:ind w:left="0" w:leftChars="0" w:firstLine="0" w:firstLineChars="0"/>
        <w:jc w:val="center"/>
        <w:textAlignment w:val="auto"/>
        <w:rPr>
          <w:rFonts w:hint="eastAsia" w:ascii="仿宋" w:hAnsi="仿宋" w:eastAsia="仿宋" w:cs="仿宋"/>
          <w:kern w:val="2"/>
          <w:sz w:val="36"/>
          <w:szCs w:val="36"/>
          <w:lang w:val="en-US" w:eastAsia="zh-CN" w:bidi="ar-SA"/>
        </w:rPr>
      </w:pPr>
      <w:r>
        <w:rPr>
          <w:rFonts w:hint="eastAsia" w:ascii="方正小标宋_GBK" w:hAnsi="方正小标宋_GBK" w:eastAsia="方正小标宋_GBK" w:cs="方正小标宋_GBK"/>
          <w:kern w:val="2"/>
          <w:sz w:val="44"/>
          <w:szCs w:val="44"/>
          <w:highlight w:val="none"/>
          <w:u w:val="none"/>
          <w:lang w:val="en-US" w:eastAsia="zh-CN" w:bidi="ar-SA"/>
        </w:rPr>
        <w:t>白城绿电产业示范园区产业发展基地规划</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firstLine="720"/>
        <w:jc w:val="both"/>
        <w:textAlignment w:val="auto"/>
        <w:rPr>
          <w:rFonts w:hint="eastAsia" w:ascii="仿宋" w:hAnsi="仿宋" w:eastAsia="仿宋" w:cs="仿宋"/>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firstLine="720"/>
        <w:jc w:val="both"/>
        <w:textAlignment w:val="auto"/>
        <w:rPr>
          <w:rFonts w:hint="eastAsia" w:ascii="仿宋" w:hAnsi="仿宋" w:eastAsia="仿宋" w:cs="仿宋"/>
          <w:kern w:val="2"/>
          <w:sz w:val="36"/>
          <w:szCs w:val="36"/>
          <w:lang w:val="en-US" w:eastAsia="zh-CN" w:bidi="ar-SA"/>
        </w:rPr>
      </w:pPr>
      <w:r>
        <w:rPr>
          <w:rFonts w:hint="eastAsia" w:ascii="仿宋" w:hAnsi="仿宋" w:eastAsia="仿宋" w:cs="仿宋"/>
          <w:kern w:val="2"/>
          <w:sz w:val="32"/>
          <w:szCs w:val="32"/>
          <w:lang w:val="en-US" w:eastAsia="zh-CN" w:bidi="ar-SA"/>
        </w:rPr>
        <w:t>以洮北经开区为依托，整合白城工业园区内的化工园区，幅员50平方公里，规划建设七大产业园区。</w:t>
      </w:r>
    </w:p>
    <w:p>
      <w:pPr>
        <w:pStyle w:val="16"/>
        <w:keepNext w:val="0"/>
        <w:keepLines w:val="0"/>
        <w:pageBreakBefore w:val="0"/>
        <w:widowControl w:val="0"/>
        <w:kinsoku/>
        <w:wordWrap/>
        <w:overflowPunct/>
        <w:topLinePunct w:val="0"/>
        <w:autoSpaceDE/>
        <w:autoSpaceDN/>
        <w:bidi w:val="0"/>
        <w:adjustRightInd/>
        <w:snapToGrid/>
        <w:spacing w:beforeAutospacing="0" w:after="0" w:afterLines="0" w:afterAutospacing="0" w:line="580" w:lineRule="exact"/>
        <w:ind w:left="0" w:leftChars="0" w:firstLine="0" w:firstLineChars="0"/>
        <w:jc w:val="center"/>
        <w:textAlignment w:val="auto"/>
        <w:rPr>
          <w:rFonts w:hint="eastAsia" w:ascii="方正小标宋_GBK" w:hAnsi="方正小标宋_GBK" w:eastAsia="方正小标宋_GBK" w:cs="方正小标宋_GBK"/>
          <w:kern w:val="2"/>
          <w:sz w:val="44"/>
          <w:szCs w:val="44"/>
          <w:highlight w:val="none"/>
          <w:u w:val="none"/>
          <w:lang w:val="en-US" w:eastAsia="zh-CN" w:bidi="ar-SA"/>
        </w:rPr>
      </w:pPr>
      <w:r>
        <w:rPr>
          <w:rFonts w:hint="eastAsia" w:ascii="楷体" w:hAnsi="楷体" w:eastAsia="楷体" w:cs="楷体"/>
          <w:color w:val="auto"/>
          <w:sz w:val="32"/>
          <w:szCs w:val="32"/>
          <w:shd w:val="clear" w:color="auto" w:fill="auto"/>
          <w:lang w:val="en-US" w:eastAsia="zh-CN"/>
        </w:rPr>
        <w:drawing>
          <wp:anchor distT="0" distB="0" distL="114300" distR="114300" simplePos="0" relativeHeight="251661312" behindDoc="1" locked="0" layoutInCell="1" allowOverlap="1">
            <wp:simplePos x="0" y="0"/>
            <wp:positionH relativeFrom="column">
              <wp:posOffset>645795</wp:posOffset>
            </wp:positionH>
            <wp:positionV relativeFrom="paragraph">
              <wp:posOffset>19685</wp:posOffset>
            </wp:positionV>
            <wp:extent cx="7225030" cy="4164330"/>
            <wp:effectExtent l="0" t="0" r="13970" b="0"/>
            <wp:wrapTight wrapText="bothSides">
              <wp:wrapPolygon>
                <wp:start x="0" y="0"/>
                <wp:lineTo x="0" y="21501"/>
                <wp:lineTo x="21551" y="21501"/>
                <wp:lineTo x="21551" y="0"/>
                <wp:lineTo x="0" y="0"/>
              </wp:wrapPolygon>
            </wp:wrapTight>
            <wp:docPr id="3" name="图片 3" descr="Q3$7D8`UI1@NQHI6F@P_0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3$7D8`UI1@NQHI6F@P_0O6"/>
                    <pic:cNvPicPr>
                      <a:picLocks noChangeAspect="1"/>
                    </pic:cNvPicPr>
                  </pic:nvPicPr>
                  <pic:blipFill>
                    <a:blip r:embed="rId10"/>
                    <a:stretch>
                      <a:fillRect/>
                    </a:stretch>
                  </pic:blipFill>
                  <pic:spPr>
                    <a:xfrm>
                      <a:off x="0" y="0"/>
                      <a:ext cx="7225030" cy="4164330"/>
                    </a:xfrm>
                    <a:prstGeom prst="rect">
                      <a:avLst/>
                    </a:prstGeom>
                    <a:noFill/>
                    <a:ln>
                      <a:noFill/>
                    </a:ln>
                  </pic:spPr>
                </pic:pic>
              </a:graphicData>
            </a:graphic>
          </wp:anchor>
        </w:drawing>
      </w:r>
    </w:p>
    <w:p>
      <w:pPr>
        <w:pStyle w:val="16"/>
        <w:keepNext w:val="0"/>
        <w:keepLines w:val="0"/>
        <w:pageBreakBefore w:val="0"/>
        <w:widowControl w:val="0"/>
        <w:kinsoku/>
        <w:wordWrap/>
        <w:overflowPunct/>
        <w:topLinePunct w:val="0"/>
        <w:autoSpaceDE/>
        <w:autoSpaceDN/>
        <w:bidi w:val="0"/>
        <w:adjustRightInd/>
        <w:snapToGrid/>
        <w:spacing w:beforeAutospacing="0" w:after="0" w:afterLines="0" w:afterAutospacing="0" w:line="590" w:lineRule="exact"/>
        <w:ind w:left="0" w:leftChars="0" w:firstLine="0" w:firstLineChars="0"/>
        <w:jc w:val="both"/>
        <w:textAlignment w:val="auto"/>
        <w:rPr>
          <w:rFonts w:hint="default" w:eastAsia="仿宋_GB2312" w:cs="Times New Roman"/>
          <w:kern w:val="2"/>
          <w:sz w:val="34"/>
          <w:szCs w:val="34"/>
          <w:highlight w:val="none"/>
          <w:u w:val="none"/>
          <w:lang w:val="en-US" w:eastAsia="zh-CN" w:bidi="ar-SA"/>
        </w:rPr>
      </w:pPr>
    </w:p>
    <w:p>
      <w:pPr>
        <w:pStyle w:val="16"/>
        <w:keepNext w:val="0"/>
        <w:keepLines w:val="0"/>
        <w:pageBreakBefore w:val="0"/>
        <w:widowControl w:val="0"/>
        <w:kinsoku/>
        <w:wordWrap/>
        <w:overflowPunct/>
        <w:topLinePunct w:val="0"/>
        <w:autoSpaceDE/>
        <w:autoSpaceDN/>
        <w:bidi w:val="0"/>
        <w:adjustRightInd/>
        <w:snapToGrid/>
        <w:spacing w:beforeAutospacing="0" w:after="0" w:afterLines="0" w:afterAutospacing="0" w:line="590" w:lineRule="exact"/>
        <w:ind w:left="0" w:leftChars="0" w:firstLine="0" w:firstLineChars="0"/>
        <w:jc w:val="both"/>
        <w:textAlignment w:val="auto"/>
        <w:rPr>
          <w:rFonts w:hint="default" w:eastAsia="仿宋_GB2312" w:cs="Times New Roman"/>
          <w:kern w:val="2"/>
          <w:sz w:val="34"/>
          <w:szCs w:val="34"/>
          <w:highlight w:val="none"/>
          <w:u w:val="none"/>
          <w:lang w:val="en-US" w:eastAsia="zh-CN" w:bidi="ar-SA"/>
        </w:rPr>
      </w:pPr>
    </w:p>
    <w:p>
      <w:pPr>
        <w:pStyle w:val="16"/>
        <w:keepNext w:val="0"/>
        <w:keepLines w:val="0"/>
        <w:pageBreakBefore w:val="0"/>
        <w:widowControl w:val="0"/>
        <w:kinsoku/>
        <w:wordWrap/>
        <w:overflowPunct/>
        <w:topLinePunct w:val="0"/>
        <w:autoSpaceDE/>
        <w:autoSpaceDN/>
        <w:bidi w:val="0"/>
        <w:adjustRightInd/>
        <w:snapToGrid/>
        <w:spacing w:beforeAutospacing="0" w:after="0" w:afterLines="0" w:afterAutospacing="0" w:line="590" w:lineRule="exact"/>
        <w:ind w:left="0" w:leftChars="0" w:firstLine="0" w:firstLineChars="0"/>
        <w:jc w:val="both"/>
        <w:textAlignment w:val="auto"/>
        <w:rPr>
          <w:rFonts w:hint="default" w:eastAsia="仿宋_GB2312" w:cs="Times New Roman"/>
          <w:kern w:val="2"/>
          <w:sz w:val="34"/>
          <w:szCs w:val="34"/>
          <w:highlight w:val="none"/>
          <w:u w:val="none"/>
          <w:lang w:val="en-US" w:eastAsia="zh-CN" w:bidi="ar-SA"/>
        </w:rPr>
      </w:pPr>
    </w:p>
    <w:p>
      <w:pPr>
        <w:pStyle w:val="16"/>
        <w:keepNext w:val="0"/>
        <w:keepLines w:val="0"/>
        <w:pageBreakBefore w:val="0"/>
        <w:widowControl w:val="0"/>
        <w:kinsoku/>
        <w:wordWrap/>
        <w:overflowPunct/>
        <w:topLinePunct w:val="0"/>
        <w:autoSpaceDE/>
        <w:autoSpaceDN/>
        <w:bidi w:val="0"/>
        <w:adjustRightInd/>
        <w:snapToGrid/>
        <w:spacing w:beforeAutospacing="0" w:after="0" w:afterLines="0" w:afterAutospacing="0" w:line="590" w:lineRule="exact"/>
        <w:ind w:left="0" w:leftChars="0" w:firstLine="0" w:firstLineChars="0"/>
        <w:jc w:val="both"/>
        <w:textAlignment w:val="auto"/>
        <w:rPr>
          <w:rFonts w:hint="default" w:eastAsia="仿宋_GB2312" w:cs="Times New Roman"/>
          <w:kern w:val="2"/>
          <w:sz w:val="34"/>
          <w:szCs w:val="34"/>
          <w:highlight w:val="none"/>
          <w:u w:val="none"/>
          <w:lang w:val="en-US" w:eastAsia="zh-CN" w:bidi="ar-SA"/>
        </w:rPr>
      </w:pPr>
    </w:p>
    <w:p>
      <w:pPr>
        <w:pStyle w:val="16"/>
        <w:keepNext w:val="0"/>
        <w:keepLines w:val="0"/>
        <w:pageBreakBefore w:val="0"/>
        <w:widowControl w:val="0"/>
        <w:kinsoku/>
        <w:wordWrap/>
        <w:overflowPunct/>
        <w:topLinePunct w:val="0"/>
        <w:autoSpaceDE/>
        <w:autoSpaceDN/>
        <w:bidi w:val="0"/>
        <w:adjustRightInd/>
        <w:snapToGrid/>
        <w:spacing w:beforeAutospacing="0" w:after="0" w:afterLines="0" w:afterAutospacing="0" w:line="590" w:lineRule="exact"/>
        <w:ind w:left="0" w:leftChars="0" w:firstLine="0" w:firstLineChars="0"/>
        <w:jc w:val="both"/>
        <w:textAlignment w:val="auto"/>
        <w:rPr>
          <w:rFonts w:hint="default" w:eastAsia="仿宋_GB2312" w:cs="Times New Roman"/>
          <w:kern w:val="2"/>
          <w:sz w:val="34"/>
          <w:szCs w:val="34"/>
          <w:highlight w:val="none"/>
          <w:u w:val="none"/>
          <w:lang w:val="en-US" w:eastAsia="zh-CN" w:bidi="ar-SA"/>
        </w:rPr>
      </w:pPr>
    </w:p>
    <w:p>
      <w:pPr>
        <w:rPr>
          <w:rFonts w:hint="default"/>
          <w:lang w:val="en-US" w:eastAsia="zh-CN"/>
        </w:rPr>
      </w:pPr>
    </w:p>
    <w:sectPr>
      <w:pgSz w:w="16837" w:h="11905" w:orient="landscape"/>
      <w:pgMar w:top="1588" w:right="1644" w:bottom="1474" w:left="1644" w:header="567" w:footer="1531" w:gutter="0"/>
      <w:pgNumType w:start="1"/>
      <w:cols w:space="0" w:num="1"/>
      <w:rtlGutter w:val="0"/>
      <w:docGrid w:type="linesAndChars" w:linePitch="6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永中宋体">
    <w:panose1 w:val="02010600030101010101"/>
    <w:charset w:val="86"/>
    <w:family w:val="auto"/>
    <w:pitch w:val="default"/>
    <w:sig w:usb0="00000803" w:usb1="080E0000" w:usb2="00000000" w:usb3="00000000" w:csb0="00040001" w:csb1="00000000"/>
  </w:font>
  <w:font w:name="方正舒体">
    <w:panose1 w:val="02010601030101010101"/>
    <w:charset w:val="86"/>
    <w:family w:val="auto"/>
    <w:pitch w:val="default"/>
    <w:sig w:usb0="00000003" w:usb1="080E0000" w:usb2="00000000" w:usb3="00000000" w:csb0="00040000" w:csb1="00000000"/>
  </w:font>
  <w:font w:name="永中黑体">
    <w:panose1 w:val="02010600030101010101"/>
    <w:charset w:val="86"/>
    <w:family w:val="auto"/>
    <w:pitch w:val="default"/>
    <w:sig w:usb0="00000803" w:usb1="080E0000" w:usb2="00000000" w:usb3="00000000" w:csb0="00040000" w:csb1="00000000"/>
  </w:font>
  <w:font w:name="永中仿宋">
    <w:panose1 w:val="02010600030101010101"/>
    <w:charset w:val="86"/>
    <w:family w:val="auto"/>
    <w:pitch w:val="default"/>
    <w:sig w:usb0="00000001" w:usb1="080E0000" w:usb2="00000000" w:usb3="00000000" w:csb0="00040000" w:csb1="00000000"/>
  </w:font>
  <w:font w:name="方正行楷_GBK">
    <w:panose1 w:val="02000000000000000000"/>
    <w:charset w:val="86"/>
    <w:family w:val="auto"/>
    <w:pitch w:val="default"/>
    <w:sig w:usb0="00000001" w:usb1="08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方正细黑一_GBK">
    <w:panose1 w:val="03000509000000000000"/>
    <w:charset w:val="86"/>
    <w:family w:val="auto"/>
    <w:pitch w:val="default"/>
    <w:sig w:usb0="00000001" w:usb1="080E0000" w:usb2="00000000" w:usb3="00000000" w:csb0="00040000" w:csb1="00000000"/>
  </w:font>
  <w:font w:name="方正启体简体">
    <w:panose1 w:val="03000509000000000000"/>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sz w:val="24"/>
        <w:szCs w:val="24"/>
      </w:rPr>
    </w:pPr>
    <w:r>
      <w:rPr>
        <w:rStyle w:val="12"/>
        <w:sz w:val="24"/>
        <w:szCs w:val="24"/>
      </w:rPr>
      <w:t>—</w:t>
    </w:r>
    <w:r>
      <w:rPr>
        <w:rStyle w:val="12"/>
        <w:rFonts w:hint="eastAsia"/>
        <w:sz w:val="24"/>
        <w:szCs w:val="24"/>
      </w:rPr>
      <w:t xml:space="preserve"> </w:t>
    </w:r>
    <w:r>
      <w:rPr>
        <w:rStyle w:val="12"/>
        <w:sz w:val="24"/>
        <w:szCs w:val="24"/>
      </w:rPr>
      <w:fldChar w:fldCharType="begin"/>
    </w:r>
    <w:r>
      <w:rPr>
        <w:rStyle w:val="12"/>
        <w:sz w:val="24"/>
        <w:szCs w:val="24"/>
      </w:rPr>
      <w:instrText xml:space="preserve">PAGE  </w:instrText>
    </w:r>
    <w:r>
      <w:rPr>
        <w:rStyle w:val="12"/>
        <w:sz w:val="24"/>
        <w:szCs w:val="24"/>
      </w:rPr>
      <w:fldChar w:fldCharType="separate"/>
    </w:r>
    <w:r>
      <w:rPr>
        <w:rStyle w:val="12"/>
        <w:sz w:val="24"/>
        <w:szCs w:val="24"/>
      </w:rPr>
      <w:t>1</w:t>
    </w:r>
    <w:r>
      <w:rPr>
        <w:rStyle w:val="12"/>
        <w:sz w:val="24"/>
        <w:szCs w:val="24"/>
      </w:rPr>
      <w:fldChar w:fldCharType="end"/>
    </w:r>
    <w:r>
      <w:rPr>
        <w:rStyle w:val="12"/>
        <w:rFonts w:hint="eastAsia"/>
        <w:sz w:val="24"/>
        <w:szCs w:val="24"/>
      </w:rPr>
      <w:t xml:space="preserve"> </w:t>
    </w:r>
    <w:r>
      <w:rPr>
        <w:rStyle w:val="12"/>
        <w:sz w:val="24"/>
        <w:szCs w:val="24"/>
      </w:rPr>
      <w:t>—</w:t>
    </w:r>
  </w:p>
  <w:p>
    <w:pPr>
      <w:snapToGrid w:val="0"/>
      <w:spacing w:line="0" w:lineRule="atLeast"/>
      <w:jc w:val="right"/>
    </w:pPr>
    <w:r>
      <mc:AlternateContent>
        <mc:Choice Requires="wps">
          <w:drawing>
            <wp:anchor distT="0" distB="0" distL="0" distR="0" simplePos="0" relativeHeight="251660288" behindDoc="1" locked="0" layoutInCell="0" allowOverlap="1">
              <wp:simplePos x="0" y="0"/>
              <wp:positionH relativeFrom="page">
                <wp:posOffset>1007745</wp:posOffset>
              </wp:positionH>
              <wp:positionV relativeFrom="page">
                <wp:posOffset>9539605</wp:posOffset>
              </wp:positionV>
              <wp:extent cx="5615940" cy="179705"/>
              <wp:effectExtent l="0" t="0" r="0" b="0"/>
              <wp:wrapNone/>
              <wp:docPr id="2" name="文本框 3"/>
              <wp:cNvGraphicFramePr/>
              <a:graphic xmlns:a="http://schemas.openxmlformats.org/drawingml/2006/main">
                <a:graphicData uri="http://schemas.microsoft.com/office/word/2010/wordprocessingShape">
                  <wps:wsp>
                    <wps:cNvSpPr txBox="1"/>
                    <wps:spPr>
                      <a:xfrm>
                        <a:off x="0" y="0"/>
                        <a:ext cx="5615940" cy="179705"/>
                      </a:xfrm>
                      <a:prstGeom prst="rect">
                        <a:avLst/>
                      </a:prstGeom>
                      <a:noFill/>
                      <a:ln>
                        <a:noFill/>
                      </a:ln>
                      <a:effectLst>
                        <a:outerShdw algn="ctr" rotWithShape="0">
                          <a:srgbClr val="A0A0A4"/>
                        </a:outerShdw>
                      </a:effectLst>
                    </wps:spPr>
                    <wps:bodyPr wrap="square" lIns="0" tIns="0" rIns="0" bIns="0" upright="1"/>
                  </wps:wsp>
                </a:graphicData>
              </a:graphic>
            </wp:anchor>
          </w:drawing>
        </mc:Choice>
        <mc:Fallback>
          <w:pict>
            <v:shape id="文本框 3" o:spid="_x0000_s1026" o:spt="202" type="#_x0000_t202" style="position:absolute;left:0pt;margin-left:79.35pt;margin-top:751.15pt;height:14.15pt;width:442.2pt;mso-position-horizontal-relative:page;mso-position-vertical-relative:page;z-index:-251656192;mso-width-relative:page;mso-height-relative:page;" filled="f" stroked="f" coordsize="21600,21600" o:allowincell="f" o:gfxdata="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tH7zbtgAAAAOAQAADwAAAAAAAAABACAAAAA4AAAAZHJzL2Rvd25yZXYueG1sUEsBAhQAFAAA&#10;AAgAh07iQL2UDjHZAQAAkgMAAA4AAAAAAAAAAQAgAAAAPQEAAGRycy9lMm9Eb2MueG1sUEsFBgAA&#10;AAAGAAYAWQEAAIgFAAAAAA==&#10;">
              <v:fill on="f" focussize="0,0"/>
              <v:stroke on="f"/>
              <v:imagedata o:title=""/>
              <o:lock v:ext="edit" aspectratio="f"/>
              <v:shadow on="t" color="#A0A0A4" offset="0pt,0pt" origin="0f,0f" matrix="65536f,0f,0f,65536f"/>
              <v:textbox inset="0mm,0mm,0mm,0mm"/>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0" w:lineRule="atLeast"/>
    </w:pPr>
    <w:r>
      <mc:AlternateContent>
        <mc:Choice Requires="wps">
          <w:drawing>
            <wp:anchor distT="0" distB="0" distL="0" distR="0" simplePos="0" relativeHeight="251659264" behindDoc="1" locked="0" layoutInCell="0" allowOverlap="1">
              <wp:simplePos x="0" y="0"/>
              <wp:positionH relativeFrom="page">
                <wp:posOffset>1007745</wp:posOffset>
              </wp:positionH>
              <wp:positionV relativeFrom="page">
                <wp:posOffset>359410</wp:posOffset>
              </wp:positionV>
              <wp:extent cx="5615940" cy="179705"/>
              <wp:effectExtent l="0" t="0" r="0" b="0"/>
              <wp:wrapNone/>
              <wp:docPr id="1" name="文本框 2"/>
              <wp:cNvGraphicFramePr/>
              <a:graphic xmlns:a="http://schemas.openxmlformats.org/drawingml/2006/main">
                <a:graphicData uri="http://schemas.microsoft.com/office/word/2010/wordprocessingShape">
                  <wps:wsp>
                    <wps:cNvSpPr txBox="1"/>
                    <wps:spPr>
                      <a:xfrm>
                        <a:off x="0" y="0"/>
                        <a:ext cx="5615940" cy="179705"/>
                      </a:xfrm>
                      <a:prstGeom prst="rect">
                        <a:avLst/>
                      </a:prstGeom>
                      <a:noFill/>
                      <a:ln>
                        <a:noFill/>
                      </a:ln>
                      <a:effectLst>
                        <a:outerShdw algn="ctr" rotWithShape="0">
                          <a:srgbClr val="A0A0A4"/>
                        </a:outerShdw>
                      </a:effectLst>
                    </wps:spPr>
                    <wps:bodyPr wrap="square" lIns="0" tIns="0" rIns="0" bIns="0" upright="1"/>
                  </wps:wsp>
                </a:graphicData>
              </a:graphic>
            </wp:anchor>
          </w:drawing>
        </mc:Choice>
        <mc:Fallback>
          <w:pict>
            <v:shape id="文本框 2" o:spid="_x0000_s1026" o:spt="202" type="#_x0000_t202" style="position:absolute;left:0pt;margin-left:79.35pt;margin-top:28.3pt;height:14.15pt;width:442.2pt;mso-position-horizontal-relative:page;mso-position-vertical-relative:page;z-index:-251657216;mso-width-relative:page;mso-height-relative:page;" filled="f" stroked="f" coordsize="21600,21600" o:allowincell="f" o:gfxdata="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UU8qhdgAAAAKAQAADwAAAAAAAAABACAAAAA4AAAAZHJzL2Rvd25yZXYueG1sUEsBAhQAFAAA&#10;AAgAh07iQIRYKf3ZAQAAkgMAAA4AAAAAAAAAAQAgAAAAPQEAAGRycy9lMm9Eb2MueG1sUEsFBgAA&#10;AAAGAAYAWQEAAIgFAAAAAA==&#10;">
              <v:fill on="f" focussize="0,0"/>
              <v:stroke on="f"/>
              <v:imagedata o:title=""/>
              <o:lock v:ext="edit" aspectratio="f"/>
              <v:shadow on="t" color="#A0A0A4" offset="0pt,0pt" origin="0f,0f" matrix="65536f,0f,0f,65536f"/>
              <v:textbox inset="0mm,0mm,0mm,0mm"/>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05"/>
  <w:drawingGridVerticalSpacing w:val="623"/>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492D1C"/>
    <w:rsid w:val="00001110"/>
    <w:rsid w:val="00002DB2"/>
    <w:rsid w:val="00007321"/>
    <w:rsid w:val="000215A6"/>
    <w:rsid w:val="00024471"/>
    <w:rsid w:val="000268C3"/>
    <w:rsid w:val="00026ABC"/>
    <w:rsid w:val="000278A5"/>
    <w:rsid w:val="00033CC5"/>
    <w:rsid w:val="000359E3"/>
    <w:rsid w:val="0005424E"/>
    <w:rsid w:val="00063864"/>
    <w:rsid w:val="00067F99"/>
    <w:rsid w:val="000717AC"/>
    <w:rsid w:val="000777AF"/>
    <w:rsid w:val="00083B79"/>
    <w:rsid w:val="00092130"/>
    <w:rsid w:val="000A46D5"/>
    <w:rsid w:val="000C753A"/>
    <w:rsid w:val="000D26F6"/>
    <w:rsid w:val="000E58A4"/>
    <w:rsid w:val="000F2126"/>
    <w:rsid w:val="000F49AB"/>
    <w:rsid w:val="000F711C"/>
    <w:rsid w:val="00110D4B"/>
    <w:rsid w:val="001211F5"/>
    <w:rsid w:val="00121BFB"/>
    <w:rsid w:val="001262EB"/>
    <w:rsid w:val="00126918"/>
    <w:rsid w:val="00136E85"/>
    <w:rsid w:val="00167A40"/>
    <w:rsid w:val="00167E23"/>
    <w:rsid w:val="0017044E"/>
    <w:rsid w:val="0018034C"/>
    <w:rsid w:val="001804CB"/>
    <w:rsid w:val="00185170"/>
    <w:rsid w:val="00194951"/>
    <w:rsid w:val="001975B6"/>
    <w:rsid w:val="001B0717"/>
    <w:rsid w:val="001B730F"/>
    <w:rsid w:val="001C3477"/>
    <w:rsid w:val="001C4068"/>
    <w:rsid w:val="001C77DF"/>
    <w:rsid w:val="001D18D2"/>
    <w:rsid w:val="001D26BA"/>
    <w:rsid w:val="001D5A71"/>
    <w:rsid w:val="001E2532"/>
    <w:rsid w:val="001E64D9"/>
    <w:rsid w:val="001E6E1E"/>
    <w:rsid w:val="001E79A1"/>
    <w:rsid w:val="001F035D"/>
    <w:rsid w:val="0020193B"/>
    <w:rsid w:val="00210085"/>
    <w:rsid w:val="002118E1"/>
    <w:rsid w:val="00223D07"/>
    <w:rsid w:val="0022741E"/>
    <w:rsid w:val="00242278"/>
    <w:rsid w:val="002453C1"/>
    <w:rsid w:val="00252A9A"/>
    <w:rsid w:val="00272AC6"/>
    <w:rsid w:val="00277B92"/>
    <w:rsid w:val="00280A8C"/>
    <w:rsid w:val="00294E0F"/>
    <w:rsid w:val="00295122"/>
    <w:rsid w:val="002A3B47"/>
    <w:rsid w:val="002A3E25"/>
    <w:rsid w:val="002B121A"/>
    <w:rsid w:val="002B4B67"/>
    <w:rsid w:val="002B7A85"/>
    <w:rsid w:val="002C2A19"/>
    <w:rsid w:val="002C47F1"/>
    <w:rsid w:val="002D1E43"/>
    <w:rsid w:val="002E520B"/>
    <w:rsid w:val="002E57AE"/>
    <w:rsid w:val="002F3661"/>
    <w:rsid w:val="002F6568"/>
    <w:rsid w:val="00302C67"/>
    <w:rsid w:val="00302EAB"/>
    <w:rsid w:val="00303D54"/>
    <w:rsid w:val="003107A0"/>
    <w:rsid w:val="00323DB9"/>
    <w:rsid w:val="00346370"/>
    <w:rsid w:val="00353D6F"/>
    <w:rsid w:val="00360BD4"/>
    <w:rsid w:val="00370518"/>
    <w:rsid w:val="003750D7"/>
    <w:rsid w:val="003770F1"/>
    <w:rsid w:val="00380244"/>
    <w:rsid w:val="00385A11"/>
    <w:rsid w:val="003B02D7"/>
    <w:rsid w:val="003B42E2"/>
    <w:rsid w:val="003C6389"/>
    <w:rsid w:val="003D065B"/>
    <w:rsid w:val="003D4607"/>
    <w:rsid w:val="003E3C9E"/>
    <w:rsid w:val="003E6170"/>
    <w:rsid w:val="003E6EF2"/>
    <w:rsid w:val="003F0B3C"/>
    <w:rsid w:val="003F2F88"/>
    <w:rsid w:val="00416A75"/>
    <w:rsid w:val="0041709E"/>
    <w:rsid w:val="00422C9A"/>
    <w:rsid w:val="00431742"/>
    <w:rsid w:val="00440E8F"/>
    <w:rsid w:val="00447715"/>
    <w:rsid w:val="004546A9"/>
    <w:rsid w:val="0045521D"/>
    <w:rsid w:val="0046064C"/>
    <w:rsid w:val="00460978"/>
    <w:rsid w:val="00461FBB"/>
    <w:rsid w:val="00485143"/>
    <w:rsid w:val="00485FFE"/>
    <w:rsid w:val="00494F12"/>
    <w:rsid w:val="004A0389"/>
    <w:rsid w:val="004C0DB0"/>
    <w:rsid w:val="004C2714"/>
    <w:rsid w:val="004C41E5"/>
    <w:rsid w:val="004D230B"/>
    <w:rsid w:val="004E6B38"/>
    <w:rsid w:val="004F3856"/>
    <w:rsid w:val="004F6C53"/>
    <w:rsid w:val="0050080E"/>
    <w:rsid w:val="005103B0"/>
    <w:rsid w:val="005141CD"/>
    <w:rsid w:val="0051490E"/>
    <w:rsid w:val="00520802"/>
    <w:rsid w:val="00523A9F"/>
    <w:rsid w:val="00527694"/>
    <w:rsid w:val="00531F85"/>
    <w:rsid w:val="00533635"/>
    <w:rsid w:val="00534CB0"/>
    <w:rsid w:val="005373BB"/>
    <w:rsid w:val="005410AF"/>
    <w:rsid w:val="00547A8D"/>
    <w:rsid w:val="00553B13"/>
    <w:rsid w:val="00564AD8"/>
    <w:rsid w:val="00581BA1"/>
    <w:rsid w:val="00585517"/>
    <w:rsid w:val="00585AF0"/>
    <w:rsid w:val="00591FC1"/>
    <w:rsid w:val="005935FF"/>
    <w:rsid w:val="0059531A"/>
    <w:rsid w:val="005A70E9"/>
    <w:rsid w:val="005B18F4"/>
    <w:rsid w:val="005C6AE7"/>
    <w:rsid w:val="005E2A66"/>
    <w:rsid w:val="005E62BA"/>
    <w:rsid w:val="005E6F3F"/>
    <w:rsid w:val="005F2DE3"/>
    <w:rsid w:val="005F47AA"/>
    <w:rsid w:val="005F6DF2"/>
    <w:rsid w:val="0060141A"/>
    <w:rsid w:val="006201D6"/>
    <w:rsid w:val="00626691"/>
    <w:rsid w:val="00627388"/>
    <w:rsid w:val="006418FC"/>
    <w:rsid w:val="006426B6"/>
    <w:rsid w:val="00644BCA"/>
    <w:rsid w:val="00651B1E"/>
    <w:rsid w:val="00651D18"/>
    <w:rsid w:val="0066308D"/>
    <w:rsid w:val="006631F1"/>
    <w:rsid w:val="00665335"/>
    <w:rsid w:val="006660E0"/>
    <w:rsid w:val="006744F2"/>
    <w:rsid w:val="00693468"/>
    <w:rsid w:val="00696096"/>
    <w:rsid w:val="006A0598"/>
    <w:rsid w:val="006A7613"/>
    <w:rsid w:val="006A7D30"/>
    <w:rsid w:val="006B2FF2"/>
    <w:rsid w:val="006B3053"/>
    <w:rsid w:val="006B3AA5"/>
    <w:rsid w:val="006B7B4B"/>
    <w:rsid w:val="006C6BE1"/>
    <w:rsid w:val="006F1662"/>
    <w:rsid w:val="00701E73"/>
    <w:rsid w:val="0070506C"/>
    <w:rsid w:val="00711D36"/>
    <w:rsid w:val="00715DC1"/>
    <w:rsid w:val="007241C0"/>
    <w:rsid w:val="00736234"/>
    <w:rsid w:val="007372C0"/>
    <w:rsid w:val="00746DEA"/>
    <w:rsid w:val="00765E04"/>
    <w:rsid w:val="0077285E"/>
    <w:rsid w:val="00774850"/>
    <w:rsid w:val="0078162B"/>
    <w:rsid w:val="00792500"/>
    <w:rsid w:val="00795C97"/>
    <w:rsid w:val="007A39A4"/>
    <w:rsid w:val="007B320A"/>
    <w:rsid w:val="007B4CBA"/>
    <w:rsid w:val="007C124A"/>
    <w:rsid w:val="007C5E0F"/>
    <w:rsid w:val="007D0E3D"/>
    <w:rsid w:val="007F1CBF"/>
    <w:rsid w:val="007F5267"/>
    <w:rsid w:val="007F5AA6"/>
    <w:rsid w:val="007F6C8D"/>
    <w:rsid w:val="00800AFD"/>
    <w:rsid w:val="008021C8"/>
    <w:rsid w:val="008117C0"/>
    <w:rsid w:val="00811E7A"/>
    <w:rsid w:val="008124BA"/>
    <w:rsid w:val="00817C92"/>
    <w:rsid w:val="00840BE7"/>
    <w:rsid w:val="00842755"/>
    <w:rsid w:val="00844E3C"/>
    <w:rsid w:val="0084750B"/>
    <w:rsid w:val="00850A44"/>
    <w:rsid w:val="00853060"/>
    <w:rsid w:val="0086466B"/>
    <w:rsid w:val="00871801"/>
    <w:rsid w:val="008810B8"/>
    <w:rsid w:val="00886D07"/>
    <w:rsid w:val="00895D6D"/>
    <w:rsid w:val="008A4117"/>
    <w:rsid w:val="008A6C00"/>
    <w:rsid w:val="008D10EE"/>
    <w:rsid w:val="008D7F4F"/>
    <w:rsid w:val="008E2B24"/>
    <w:rsid w:val="008F714D"/>
    <w:rsid w:val="00906E61"/>
    <w:rsid w:val="00927CDB"/>
    <w:rsid w:val="009437C4"/>
    <w:rsid w:val="0094605C"/>
    <w:rsid w:val="0095052A"/>
    <w:rsid w:val="00962EDD"/>
    <w:rsid w:val="009725CC"/>
    <w:rsid w:val="009736A3"/>
    <w:rsid w:val="009742FD"/>
    <w:rsid w:val="00976083"/>
    <w:rsid w:val="00976F09"/>
    <w:rsid w:val="00977B93"/>
    <w:rsid w:val="0098370C"/>
    <w:rsid w:val="00994A06"/>
    <w:rsid w:val="00995F94"/>
    <w:rsid w:val="009B6048"/>
    <w:rsid w:val="009B7A53"/>
    <w:rsid w:val="009C2E7E"/>
    <w:rsid w:val="009D72CD"/>
    <w:rsid w:val="009D7622"/>
    <w:rsid w:val="009E074A"/>
    <w:rsid w:val="00A06DA6"/>
    <w:rsid w:val="00A0712A"/>
    <w:rsid w:val="00A12A2E"/>
    <w:rsid w:val="00A1516D"/>
    <w:rsid w:val="00A22D8F"/>
    <w:rsid w:val="00A30E9F"/>
    <w:rsid w:val="00A3647E"/>
    <w:rsid w:val="00A43F4B"/>
    <w:rsid w:val="00A4413D"/>
    <w:rsid w:val="00A46B52"/>
    <w:rsid w:val="00A6382D"/>
    <w:rsid w:val="00A653A5"/>
    <w:rsid w:val="00A66AD3"/>
    <w:rsid w:val="00A70DEF"/>
    <w:rsid w:val="00A958D5"/>
    <w:rsid w:val="00AA09F3"/>
    <w:rsid w:val="00AA1416"/>
    <w:rsid w:val="00AA6B5B"/>
    <w:rsid w:val="00AB18ED"/>
    <w:rsid w:val="00AB5EA1"/>
    <w:rsid w:val="00AC1979"/>
    <w:rsid w:val="00AC6E85"/>
    <w:rsid w:val="00AD2BAA"/>
    <w:rsid w:val="00AD63B6"/>
    <w:rsid w:val="00AE2847"/>
    <w:rsid w:val="00AE2C96"/>
    <w:rsid w:val="00AE51EC"/>
    <w:rsid w:val="00AF0270"/>
    <w:rsid w:val="00AF7626"/>
    <w:rsid w:val="00B035D3"/>
    <w:rsid w:val="00B0389E"/>
    <w:rsid w:val="00B07F6B"/>
    <w:rsid w:val="00B16B7C"/>
    <w:rsid w:val="00B17FBC"/>
    <w:rsid w:val="00B24316"/>
    <w:rsid w:val="00B259AC"/>
    <w:rsid w:val="00B33ED3"/>
    <w:rsid w:val="00B354BC"/>
    <w:rsid w:val="00B36C56"/>
    <w:rsid w:val="00B452D2"/>
    <w:rsid w:val="00B476A5"/>
    <w:rsid w:val="00B47BCD"/>
    <w:rsid w:val="00B54107"/>
    <w:rsid w:val="00B60C0E"/>
    <w:rsid w:val="00B60CEB"/>
    <w:rsid w:val="00B62EF1"/>
    <w:rsid w:val="00B65773"/>
    <w:rsid w:val="00B811ED"/>
    <w:rsid w:val="00B95D20"/>
    <w:rsid w:val="00B97D33"/>
    <w:rsid w:val="00BA2D3D"/>
    <w:rsid w:val="00BA3E9A"/>
    <w:rsid w:val="00BC5BF3"/>
    <w:rsid w:val="00BD22F3"/>
    <w:rsid w:val="00BD6B7D"/>
    <w:rsid w:val="00BE0BE4"/>
    <w:rsid w:val="00BF0D24"/>
    <w:rsid w:val="00BF227C"/>
    <w:rsid w:val="00C01552"/>
    <w:rsid w:val="00C01971"/>
    <w:rsid w:val="00C32158"/>
    <w:rsid w:val="00C37A5B"/>
    <w:rsid w:val="00C416A5"/>
    <w:rsid w:val="00C42EC7"/>
    <w:rsid w:val="00C5074E"/>
    <w:rsid w:val="00C51EFA"/>
    <w:rsid w:val="00C57778"/>
    <w:rsid w:val="00C61475"/>
    <w:rsid w:val="00C63988"/>
    <w:rsid w:val="00C7055D"/>
    <w:rsid w:val="00C907F8"/>
    <w:rsid w:val="00C910B3"/>
    <w:rsid w:val="00CA58C5"/>
    <w:rsid w:val="00CB01D9"/>
    <w:rsid w:val="00CB2ED1"/>
    <w:rsid w:val="00CB60B7"/>
    <w:rsid w:val="00CB7D82"/>
    <w:rsid w:val="00CC39D5"/>
    <w:rsid w:val="00CC3EBB"/>
    <w:rsid w:val="00CD0BA4"/>
    <w:rsid w:val="00CE2851"/>
    <w:rsid w:val="00CE799A"/>
    <w:rsid w:val="00CF0211"/>
    <w:rsid w:val="00CF4014"/>
    <w:rsid w:val="00CF52DA"/>
    <w:rsid w:val="00D305D9"/>
    <w:rsid w:val="00D43C3F"/>
    <w:rsid w:val="00D5345E"/>
    <w:rsid w:val="00D53FCE"/>
    <w:rsid w:val="00D542BC"/>
    <w:rsid w:val="00D7572C"/>
    <w:rsid w:val="00D84BD9"/>
    <w:rsid w:val="00D86FFB"/>
    <w:rsid w:val="00D92738"/>
    <w:rsid w:val="00D9427D"/>
    <w:rsid w:val="00D9693D"/>
    <w:rsid w:val="00DA2A03"/>
    <w:rsid w:val="00DA3C17"/>
    <w:rsid w:val="00DA5855"/>
    <w:rsid w:val="00DB0D91"/>
    <w:rsid w:val="00DB4A39"/>
    <w:rsid w:val="00DB4B25"/>
    <w:rsid w:val="00DC0475"/>
    <w:rsid w:val="00DC2F90"/>
    <w:rsid w:val="00DC4DCD"/>
    <w:rsid w:val="00DD775B"/>
    <w:rsid w:val="00DE487D"/>
    <w:rsid w:val="00DF4DFD"/>
    <w:rsid w:val="00E000E8"/>
    <w:rsid w:val="00E01274"/>
    <w:rsid w:val="00E03A63"/>
    <w:rsid w:val="00E04E46"/>
    <w:rsid w:val="00E060E7"/>
    <w:rsid w:val="00E07969"/>
    <w:rsid w:val="00E11291"/>
    <w:rsid w:val="00E11D27"/>
    <w:rsid w:val="00E149F4"/>
    <w:rsid w:val="00E16B2A"/>
    <w:rsid w:val="00E235FD"/>
    <w:rsid w:val="00E304C2"/>
    <w:rsid w:val="00E345DF"/>
    <w:rsid w:val="00E41E97"/>
    <w:rsid w:val="00E53788"/>
    <w:rsid w:val="00E606C1"/>
    <w:rsid w:val="00E65ACA"/>
    <w:rsid w:val="00E66D85"/>
    <w:rsid w:val="00E77116"/>
    <w:rsid w:val="00E85B60"/>
    <w:rsid w:val="00E8701E"/>
    <w:rsid w:val="00E90658"/>
    <w:rsid w:val="00E90B85"/>
    <w:rsid w:val="00E91D8D"/>
    <w:rsid w:val="00EA0845"/>
    <w:rsid w:val="00EA2D05"/>
    <w:rsid w:val="00EA633A"/>
    <w:rsid w:val="00EB176F"/>
    <w:rsid w:val="00EB4940"/>
    <w:rsid w:val="00EB569E"/>
    <w:rsid w:val="00EC33FC"/>
    <w:rsid w:val="00EC609A"/>
    <w:rsid w:val="00EC6801"/>
    <w:rsid w:val="00EE574F"/>
    <w:rsid w:val="00EF12CB"/>
    <w:rsid w:val="00EF428B"/>
    <w:rsid w:val="00EF5F08"/>
    <w:rsid w:val="00EF7B52"/>
    <w:rsid w:val="00F02F9D"/>
    <w:rsid w:val="00F116BD"/>
    <w:rsid w:val="00F144D9"/>
    <w:rsid w:val="00F14C22"/>
    <w:rsid w:val="00F204BC"/>
    <w:rsid w:val="00F23239"/>
    <w:rsid w:val="00F2460E"/>
    <w:rsid w:val="00F24BBA"/>
    <w:rsid w:val="00F37F85"/>
    <w:rsid w:val="00F5214B"/>
    <w:rsid w:val="00F52A1E"/>
    <w:rsid w:val="00F554AA"/>
    <w:rsid w:val="00F636E5"/>
    <w:rsid w:val="00F75537"/>
    <w:rsid w:val="00F77823"/>
    <w:rsid w:val="00F86336"/>
    <w:rsid w:val="00F909E1"/>
    <w:rsid w:val="00F95665"/>
    <w:rsid w:val="00F95A6B"/>
    <w:rsid w:val="00F963A4"/>
    <w:rsid w:val="00FB19B8"/>
    <w:rsid w:val="00FC1424"/>
    <w:rsid w:val="00FC6DEF"/>
    <w:rsid w:val="00FC79D4"/>
    <w:rsid w:val="00FD1BE6"/>
    <w:rsid w:val="00FE2D4F"/>
    <w:rsid w:val="00FE7F01"/>
    <w:rsid w:val="00FF51A0"/>
    <w:rsid w:val="01101AA8"/>
    <w:rsid w:val="011D7791"/>
    <w:rsid w:val="012835E2"/>
    <w:rsid w:val="01766C1B"/>
    <w:rsid w:val="018124C7"/>
    <w:rsid w:val="01864364"/>
    <w:rsid w:val="01954B20"/>
    <w:rsid w:val="01991C6A"/>
    <w:rsid w:val="019B6F9E"/>
    <w:rsid w:val="01A74AA4"/>
    <w:rsid w:val="01BA74E4"/>
    <w:rsid w:val="01BE253D"/>
    <w:rsid w:val="01E60805"/>
    <w:rsid w:val="01EB4957"/>
    <w:rsid w:val="01F27EBC"/>
    <w:rsid w:val="01FD0C24"/>
    <w:rsid w:val="01FF46AD"/>
    <w:rsid w:val="02177D34"/>
    <w:rsid w:val="02291F81"/>
    <w:rsid w:val="02305C3F"/>
    <w:rsid w:val="026C58C1"/>
    <w:rsid w:val="026C5DAD"/>
    <w:rsid w:val="027042F0"/>
    <w:rsid w:val="028935C9"/>
    <w:rsid w:val="0296487A"/>
    <w:rsid w:val="029E18BE"/>
    <w:rsid w:val="02A06B54"/>
    <w:rsid w:val="02A81513"/>
    <w:rsid w:val="02C91FD4"/>
    <w:rsid w:val="02CE69DC"/>
    <w:rsid w:val="02D84F56"/>
    <w:rsid w:val="02DF4453"/>
    <w:rsid w:val="02FF4398"/>
    <w:rsid w:val="030F6211"/>
    <w:rsid w:val="033F22C9"/>
    <w:rsid w:val="033F499A"/>
    <w:rsid w:val="035E4901"/>
    <w:rsid w:val="03704AA3"/>
    <w:rsid w:val="039A1D30"/>
    <w:rsid w:val="03A9097E"/>
    <w:rsid w:val="03B801CD"/>
    <w:rsid w:val="03BF6766"/>
    <w:rsid w:val="04021456"/>
    <w:rsid w:val="04144B68"/>
    <w:rsid w:val="04171A23"/>
    <w:rsid w:val="042A2C83"/>
    <w:rsid w:val="04312CB6"/>
    <w:rsid w:val="04330339"/>
    <w:rsid w:val="04351A32"/>
    <w:rsid w:val="04356218"/>
    <w:rsid w:val="043A4099"/>
    <w:rsid w:val="04716D8E"/>
    <w:rsid w:val="0478695D"/>
    <w:rsid w:val="047F7D4D"/>
    <w:rsid w:val="04880DED"/>
    <w:rsid w:val="04AC0F95"/>
    <w:rsid w:val="04C85D34"/>
    <w:rsid w:val="04CC1F28"/>
    <w:rsid w:val="04DD35F1"/>
    <w:rsid w:val="04EC12AB"/>
    <w:rsid w:val="050939AF"/>
    <w:rsid w:val="05346246"/>
    <w:rsid w:val="0548728E"/>
    <w:rsid w:val="0549513B"/>
    <w:rsid w:val="054A650D"/>
    <w:rsid w:val="05500655"/>
    <w:rsid w:val="05546659"/>
    <w:rsid w:val="055953E9"/>
    <w:rsid w:val="055B4367"/>
    <w:rsid w:val="05745334"/>
    <w:rsid w:val="05833B2B"/>
    <w:rsid w:val="05A00406"/>
    <w:rsid w:val="05D26522"/>
    <w:rsid w:val="05DB1EDF"/>
    <w:rsid w:val="05F465B1"/>
    <w:rsid w:val="060B2304"/>
    <w:rsid w:val="060C0473"/>
    <w:rsid w:val="061334CB"/>
    <w:rsid w:val="06184E8C"/>
    <w:rsid w:val="062D0447"/>
    <w:rsid w:val="06405836"/>
    <w:rsid w:val="065010B4"/>
    <w:rsid w:val="065D4DED"/>
    <w:rsid w:val="06602406"/>
    <w:rsid w:val="066B17E8"/>
    <w:rsid w:val="06706999"/>
    <w:rsid w:val="067844F6"/>
    <w:rsid w:val="067A3929"/>
    <w:rsid w:val="06A04CA6"/>
    <w:rsid w:val="06C06016"/>
    <w:rsid w:val="06F531CD"/>
    <w:rsid w:val="06FD19F9"/>
    <w:rsid w:val="071D36B3"/>
    <w:rsid w:val="0722030E"/>
    <w:rsid w:val="072709AB"/>
    <w:rsid w:val="07387C13"/>
    <w:rsid w:val="0739105B"/>
    <w:rsid w:val="073A4B1B"/>
    <w:rsid w:val="074B26E9"/>
    <w:rsid w:val="078729E4"/>
    <w:rsid w:val="078B5A55"/>
    <w:rsid w:val="07913ED5"/>
    <w:rsid w:val="07B53379"/>
    <w:rsid w:val="07B614B5"/>
    <w:rsid w:val="07D7403B"/>
    <w:rsid w:val="07F25A6A"/>
    <w:rsid w:val="07FD5CD0"/>
    <w:rsid w:val="080B30F4"/>
    <w:rsid w:val="080C4F3F"/>
    <w:rsid w:val="08180760"/>
    <w:rsid w:val="082A192A"/>
    <w:rsid w:val="083336E6"/>
    <w:rsid w:val="083B5644"/>
    <w:rsid w:val="08422586"/>
    <w:rsid w:val="08477128"/>
    <w:rsid w:val="08525A62"/>
    <w:rsid w:val="08535921"/>
    <w:rsid w:val="08703CA9"/>
    <w:rsid w:val="087E2A24"/>
    <w:rsid w:val="08867018"/>
    <w:rsid w:val="088E69EE"/>
    <w:rsid w:val="08927F9D"/>
    <w:rsid w:val="08955371"/>
    <w:rsid w:val="089C45FD"/>
    <w:rsid w:val="08AD1A3D"/>
    <w:rsid w:val="08B94AEB"/>
    <w:rsid w:val="08BF6206"/>
    <w:rsid w:val="08D5152F"/>
    <w:rsid w:val="08D65629"/>
    <w:rsid w:val="08D665B4"/>
    <w:rsid w:val="08F74970"/>
    <w:rsid w:val="090A4713"/>
    <w:rsid w:val="091808C9"/>
    <w:rsid w:val="092A2786"/>
    <w:rsid w:val="092F4C69"/>
    <w:rsid w:val="094B4F8C"/>
    <w:rsid w:val="095C4C56"/>
    <w:rsid w:val="095E0298"/>
    <w:rsid w:val="099011DB"/>
    <w:rsid w:val="0994298B"/>
    <w:rsid w:val="09A10986"/>
    <w:rsid w:val="09A4445B"/>
    <w:rsid w:val="09A76B66"/>
    <w:rsid w:val="09BE1803"/>
    <w:rsid w:val="09C315B3"/>
    <w:rsid w:val="09DD6EB4"/>
    <w:rsid w:val="09E32BBA"/>
    <w:rsid w:val="09EE2A82"/>
    <w:rsid w:val="09F403A1"/>
    <w:rsid w:val="0A0C3BDB"/>
    <w:rsid w:val="0A253B54"/>
    <w:rsid w:val="0A284D7A"/>
    <w:rsid w:val="0A472676"/>
    <w:rsid w:val="0A5A7ABD"/>
    <w:rsid w:val="0A632BC2"/>
    <w:rsid w:val="0A7017EA"/>
    <w:rsid w:val="0A723AA9"/>
    <w:rsid w:val="0A7C699D"/>
    <w:rsid w:val="0A9917AC"/>
    <w:rsid w:val="0AB203FE"/>
    <w:rsid w:val="0AB34A29"/>
    <w:rsid w:val="0AB43613"/>
    <w:rsid w:val="0ABC106E"/>
    <w:rsid w:val="0AC37D67"/>
    <w:rsid w:val="0ADE1F34"/>
    <w:rsid w:val="0AE76586"/>
    <w:rsid w:val="0AEB3103"/>
    <w:rsid w:val="0AFA2750"/>
    <w:rsid w:val="0B027319"/>
    <w:rsid w:val="0B18035E"/>
    <w:rsid w:val="0B2152C8"/>
    <w:rsid w:val="0B4B12E8"/>
    <w:rsid w:val="0B4F4B1B"/>
    <w:rsid w:val="0B7C0B1C"/>
    <w:rsid w:val="0B7C5998"/>
    <w:rsid w:val="0B904BE3"/>
    <w:rsid w:val="0B9B6380"/>
    <w:rsid w:val="0B9C0EB4"/>
    <w:rsid w:val="0BB415B2"/>
    <w:rsid w:val="0BB64276"/>
    <w:rsid w:val="0BCB5988"/>
    <w:rsid w:val="0BD848C5"/>
    <w:rsid w:val="0BE9794C"/>
    <w:rsid w:val="0C044D22"/>
    <w:rsid w:val="0C155023"/>
    <w:rsid w:val="0C57561A"/>
    <w:rsid w:val="0C617478"/>
    <w:rsid w:val="0C657693"/>
    <w:rsid w:val="0C6F01BE"/>
    <w:rsid w:val="0C8932BB"/>
    <w:rsid w:val="0C9345FB"/>
    <w:rsid w:val="0CAC536A"/>
    <w:rsid w:val="0CB30CD0"/>
    <w:rsid w:val="0CB475D1"/>
    <w:rsid w:val="0CBE2E0B"/>
    <w:rsid w:val="0CBF5253"/>
    <w:rsid w:val="0CD46967"/>
    <w:rsid w:val="0CE175A5"/>
    <w:rsid w:val="0CF076A7"/>
    <w:rsid w:val="0CFD4556"/>
    <w:rsid w:val="0CFE35C7"/>
    <w:rsid w:val="0D07600B"/>
    <w:rsid w:val="0D1A54B1"/>
    <w:rsid w:val="0D2E4F4A"/>
    <w:rsid w:val="0D2F0FE7"/>
    <w:rsid w:val="0D315135"/>
    <w:rsid w:val="0D447165"/>
    <w:rsid w:val="0D7256C3"/>
    <w:rsid w:val="0D807E86"/>
    <w:rsid w:val="0D8C3A46"/>
    <w:rsid w:val="0D8E5D81"/>
    <w:rsid w:val="0D92404E"/>
    <w:rsid w:val="0DA81AC0"/>
    <w:rsid w:val="0DCE185F"/>
    <w:rsid w:val="0DD87091"/>
    <w:rsid w:val="0DF26156"/>
    <w:rsid w:val="0DF81664"/>
    <w:rsid w:val="0E161919"/>
    <w:rsid w:val="0E1878F8"/>
    <w:rsid w:val="0E265D3A"/>
    <w:rsid w:val="0E3470D4"/>
    <w:rsid w:val="0E831098"/>
    <w:rsid w:val="0E931BC6"/>
    <w:rsid w:val="0EC37945"/>
    <w:rsid w:val="0ED9367E"/>
    <w:rsid w:val="0EEB7A8C"/>
    <w:rsid w:val="0EF45037"/>
    <w:rsid w:val="0F16105F"/>
    <w:rsid w:val="0F345C39"/>
    <w:rsid w:val="0F4C52D1"/>
    <w:rsid w:val="0F847865"/>
    <w:rsid w:val="0FA15EFB"/>
    <w:rsid w:val="0FA50BC2"/>
    <w:rsid w:val="0FBC21E0"/>
    <w:rsid w:val="0FED6BEA"/>
    <w:rsid w:val="0FF43E1E"/>
    <w:rsid w:val="0FFF79A7"/>
    <w:rsid w:val="100B721A"/>
    <w:rsid w:val="102435FC"/>
    <w:rsid w:val="102B19BF"/>
    <w:rsid w:val="102F08E1"/>
    <w:rsid w:val="10310082"/>
    <w:rsid w:val="10331619"/>
    <w:rsid w:val="10435F0B"/>
    <w:rsid w:val="10915AEA"/>
    <w:rsid w:val="10993D4B"/>
    <w:rsid w:val="10A83815"/>
    <w:rsid w:val="10A839A9"/>
    <w:rsid w:val="10C77EDC"/>
    <w:rsid w:val="10CA472B"/>
    <w:rsid w:val="10CE696A"/>
    <w:rsid w:val="10D502CE"/>
    <w:rsid w:val="10DB40DA"/>
    <w:rsid w:val="10EA4ED0"/>
    <w:rsid w:val="10F07D72"/>
    <w:rsid w:val="10F41B70"/>
    <w:rsid w:val="10FC2A33"/>
    <w:rsid w:val="1104436E"/>
    <w:rsid w:val="11055D02"/>
    <w:rsid w:val="1105667D"/>
    <w:rsid w:val="110D51FC"/>
    <w:rsid w:val="11135D93"/>
    <w:rsid w:val="113328D9"/>
    <w:rsid w:val="114850E6"/>
    <w:rsid w:val="11522CC2"/>
    <w:rsid w:val="11683C52"/>
    <w:rsid w:val="11892994"/>
    <w:rsid w:val="11951F05"/>
    <w:rsid w:val="11A04159"/>
    <w:rsid w:val="11A455C3"/>
    <w:rsid w:val="11CF5D9D"/>
    <w:rsid w:val="11E561F5"/>
    <w:rsid w:val="11E72F09"/>
    <w:rsid w:val="11FE43C1"/>
    <w:rsid w:val="120C30D0"/>
    <w:rsid w:val="123B73D8"/>
    <w:rsid w:val="12415B7C"/>
    <w:rsid w:val="124F01D2"/>
    <w:rsid w:val="125113B2"/>
    <w:rsid w:val="12672EE1"/>
    <w:rsid w:val="126E548A"/>
    <w:rsid w:val="12727CD6"/>
    <w:rsid w:val="127622F5"/>
    <w:rsid w:val="12A65CC7"/>
    <w:rsid w:val="12CE454A"/>
    <w:rsid w:val="12CF4452"/>
    <w:rsid w:val="12D149F3"/>
    <w:rsid w:val="12D76E09"/>
    <w:rsid w:val="12E96C40"/>
    <w:rsid w:val="12EA3841"/>
    <w:rsid w:val="12FB507B"/>
    <w:rsid w:val="130B428F"/>
    <w:rsid w:val="1332374D"/>
    <w:rsid w:val="133756DF"/>
    <w:rsid w:val="1349266D"/>
    <w:rsid w:val="136F7722"/>
    <w:rsid w:val="137020AA"/>
    <w:rsid w:val="13785C49"/>
    <w:rsid w:val="137C7004"/>
    <w:rsid w:val="13B930B5"/>
    <w:rsid w:val="13C91A07"/>
    <w:rsid w:val="13D85C90"/>
    <w:rsid w:val="13DF33CA"/>
    <w:rsid w:val="13E1601D"/>
    <w:rsid w:val="13E34F93"/>
    <w:rsid w:val="13FF51EC"/>
    <w:rsid w:val="140C7D83"/>
    <w:rsid w:val="14131630"/>
    <w:rsid w:val="1422758A"/>
    <w:rsid w:val="14245250"/>
    <w:rsid w:val="1432348D"/>
    <w:rsid w:val="1440387A"/>
    <w:rsid w:val="1443551D"/>
    <w:rsid w:val="14455A77"/>
    <w:rsid w:val="1446277C"/>
    <w:rsid w:val="144D34AE"/>
    <w:rsid w:val="14501DA1"/>
    <w:rsid w:val="14555F71"/>
    <w:rsid w:val="146129EE"/>
    <w:rsid w:val="14636F0D"/>
    <w:rsid w:val="147E0A60"/>
    <w:rsid w:val="148264BE"/>
    <w:rsid w:val="14856C9C"/>
    <w:rsid w:val="14875C5D"/>
    <w:rsid w:val="148A5F08"/>
    <w:rsid w:val="148F5DB7"/>
    <w:rsid w:val="149E19D6"/>
    <w:rsid w:val="14A2612E"/>
    <w:rsid w:val="14A65A85"/>
    <w:rsid w:val="14D1729B"/>
    <w:rsid w:val="14D577CB"/>
    <w:rsid w:val="14DB0FCB"/>
    <w:rsid w:val="14DF7297"/>
    <w:rsid w:val="14FC34AB"/>
    <w:rsid w:val="15064B00"/>
    <w:rsid w:val="150775EA"/>
    <w:rsid w:val="150C196F"/>
    <w:rsid w:val="15226A29"/>
    <w:rsid w:val="153B07CD"/>
    <w:rsid w:val="154C303B"/>
    <w:rsid w:val="154E2A00"/>
    <w:rsid w:val="154F39DF"/>
    <w:rsid w:val="15557A23"/>
    <w:rsid w:val="15660AB2"/>
    <w:rsid w:val="1569045D"/>
    <w:rsid w:val="156D61FA"/>
    <w:rsid w:val="15724776"/>
    <w:rsid w:val="15732A62"/>
    <w:rsid w:val="15732AFF"/>
    <w:rsid w:val="157B5FB7"/>
    <w:rsid w:val="157C195B"/>
    <w:rsid w:val="15814A69"/>
    <w:rsid w:val="15855602"/>
    <w:rsid w:val="15B75618"/>
    <w:rsid w:val="15D550C6"/>
    <w:rsid w:val="160A1286"/>
    <w:rsid w:val="160C67A9"/>
    <w:rsid w:val="162C3D9F"/>
    <w:rsid w:val="163C7735"/>
    <w:rsid w:val="164A1825"/>
    <w:rsid w:val="16577C00"/>
    <w:rsid w:val="16601D63"/>
    <w:rsid w:val="16671591"/>
    <w:rsid w:val="1677360D"/>
    <w:rsid w:val="167760E5"/>
    <w:rsid w:val="16854798"/>
    <w:rsid w:val="16BF1556"/>
    <w:rsid w:val="17042984"/>
    <w:rsid w:val="171A3122"/>
    <w:rsid w:val="173C625C"/>
    <w:rsid w:val="174D0C3C"/>
    <w:rsid w:val="174D5E4E"/>
    <w:rsid w:val="17532623"/>
    <w:rsid w:val="175F5F55"/>
    <w:rsid w:val="176A1DD8"/>
    <w:rsid w:val="178622F6"/>
    <w:rsid w:val="17A5556A"/>
    <w:rsid w:val="17A55DD9"/>
    <w:rsid w:val="17A955EF"/>
    <w:rsid w:val="17BC7525"/>
    <w:rsid w:val="17D730F4"/>
    <w:rsid w:val="17E04EB4"/>
    <w:rsid w:val="17ED25C1"/>
    <w:rsid w:val="180075AB"/>
    <w:rsid w:val="18076E52"/>
    <w:rsid w:val="180D28CD"/>
    <w:rsid w:val="181A26FF"/>
    <w:rsid w:val="181F199E"/>
    <w:rsid w:val="183944CC"/>
    <w:rsid w:val="183E0E0B"/>
    <w:rsid w:val="184E123F"/>
    <w:rsid w:val="186D30C2"/>
    <w:rsid w:val="187011B3"/>
    <w:rsid w:val="1884731F"/>
    <w:rsid w:val="188C447F"/>
    <w:rsid w:val="18966864"/>
    <w:rsid w:val="18A5195E"/>
    <w:rsid w:val="18AA29D3"/>
    <w:rsid w:val="18CC2082"/>
    <w:rsid w:val="18F56CE1"/>
    <w:rsid w:val="18F6715F"/>
    <w:rsid w:val="18F730B1"/>
    <w:rsid w:val="18F91DC3"/>
    <w:rsid w:val="18FA428A"/>
    <w:rsid w:val="19087996"/>
    <w:rsid w:val="19151382"/>
    <w:rsid w:val="193630A2"/>
    <w:rsid w:val="1937547F"/>
    <w:rsid w:val="19484846"/>
    <w:rsid w:val="19550CEB"/>
    <w:rsid w:val="196A5C41"/>
    <w:rsid w:val="197853A4"/>
    <w:rsid w:val="19862CAA"/>
    <w:rsid w:val="198F1B47"/>
    <w:rsid w:val="199804C4"/>
    <w:rsid w:val="19AA41DE"/>
    <w:rsid w:val="19B17A86"/>
    <w:rsid w:val="19B60A60"/>
    <w:rsid w:val="19B60BB8"/>
    <w:rsid w:val="19CB096B"/>
    <w:rsid w:val="19D574D8"/>
    <w:rsid w:val="19E60405"/>
    <w:rsid w:val="19F62EA7"/>
    <w:rsid w:val="19FB0695"/>
    <w:rsid w:val="19FC5BF7"/>
    <w:rsid w:val="1A033CD2"/>
    <w:rsid w:val="1A0A6898"/>
    <w:rsid w:val="1A1D4D2F"/>
    <w:rsid w:val="1A431ECA"/>
    <w:rsid w:val="1A492D1C"/>
    <w:rsid w:val="1A530E41"/>
    <w:rsid w:val="1A7543D2"/>
    <w:rsid w:val="1A7B0587"/>
    <w:rsid w:val="1A813F7A"/>
    <w:rsid w:val="1AC05160"/>
    <w:rsid w:val="1ACE0B8E"/>
    <w:rsid w:val="1ACF7AE8"/>
    <w:rsid w:val="1ADD7032"/>
    <w:rsid w:val="1AF53189"/>
    <w:rsid w:val="1B2A681F"/>
    <w:rsid w:val="1B7C00E0"/>
    <w:rsid w:val="1B8E45DB"/>
    <w:rsid w:val="1B932470"/>
    <w:rsid w:val="1B9D0B38"/>
    <w:rsid w:val="1BA652F1"/>
    <w:rsid w:val="1BA814D8"/>
    <w:rsid w:val="1BA97C6C"/>
    <w:rsid w:val="1BAB4772"/>
    <w:rsid w:val="1BB5030D"/>
    <w:rsid w:val="1BBB736B"/>
    <w:rsid w:val="1BC969ED"/>
    <w:rsid w:val="1BDF4B6E"/>
    <w:rsid w:val="1BE07336"/>
    <w:rsid w:val="1BF84933"/>
    <w:rsid w:val="1BFA7E19"/>
    <w:rsid w:val="1BFF4DA9"/>
    <w:rsid w:val="1C1545E0"/>
    <w:rsid w:val="1C2C138A"/>
    <w:rsid w:val="1C2D1E8B"/>
    <w:rsid w:val="1C46405A"/>
    <w:rsid w:val="1C5354EE"/>
    <w:rsid w:val="1C813E5D"/>
    <w:rsid w:val="1CA755AD"/>
    <w:rsid w:val="1CB21E8B"/>
    <w:rsid w:val="1CB76A3F"/>
    <w:rsid w:val="1CD42255"/>
    <w:rsid w:val="1CD445DB"/>
    <w:rsid w:val="1CEB6C8A"/>
    <w:rsid w:val="1CFD20AF"/>
    <w:rsid w:val="1D09556B"/>
    <w:rsid w:val="1D0B3368"/>
    <w:rsid w:val="1D164946"/>
    <w:rsid w:val="1D3B6DEA"/>
    <w:rsid w:val="1D3E271C"/>
    <w:rsid w:val="1D411A1A"/>
    <w:rsid w:val="1D424C8A"/>
    <w:rsid w:val="1D47316C"/>
    <w:rsid w:val="1D803E84"/>
    <w:rsid w:val="1D8107F5"/>
    <w:rsid w:val="1D841983"/>
    <w:rsid w:val="1D8B66FF"/>
    <w:rsid w:val="1D8C2896"/>
    <w:rsid w:val="1D9749F6"/>
    <w:rsid w:val="1D9A1FBF"/>
    <w:rsid w:val="1D9D2963"/>
    <w:rsid w:val="1DA03E0C"/>
    <w:rsid w:val="1DA95594"/>
    <w:rsid w:val="1DB971E8"/>
    <w:rsid w:val="1DC55080"/>
    <w:rsid w:val="1DDA6749"/>
    <w:rsid w:val="1DE3100A"/>
    <w:rsid w:val="1DEB7CE5"/>
    <w:rsid w:val="1E0C74EC"/>
    <w:rsid w:val="1E3912CA"/>
    <w:rsid w:val="1E3C230F"/>
    <w:rsid w:val="1E3D011C"/>
    <w:rsid w:val="1E503A94"/>
    <w:rsid w:val="1E7972EC"/>
    <w:rsid w:val="1E830144"/>
    <w:rsid w:val="1E9645D7"/>
    <w:rsid w:val="1EB45731"/>
    <w:rsid w:val="1EC24A0E"/>
    <w:rsid w:val="1ECD2CF4"/>
    <w:rsid w:val="1EE20D50"/>
    <w:rsid w:val="1EEB104E"/>
    <w:rsid w:val="1EF10162"/>
    <w:rsid w:val="1EFF753D"/>
    <w:rsid w:val="1F004650"/>
    <w:rsid w:val="1F2A7FD7"/>
    <w:rsid w:val="1F362C93"/>
    <w:rsid w:val="1F536375"/>
    <w:rsid w:val="1F5E635C"/>
    <w:rsid w:val="1F6D7819"/>
    <w:rsid w:val="1F860F7C"/>
    <w:rsid w:val="1F917D6C"/>
    <w:rsid w:val="1F943569"/>
    <w:rsid w:val="1FA75F65"/>
    <w:rsid w:val="1FBB2914"/>
    <w:rsid w:val="1FD23CB9"/>
    <w:rsid w:val="1FEF46A5"/>
    <w:rsid w:val="1FF4074C"/>
    <w:rsid w:val="1FF57A10"/>
    <w:rsid w:val="20123B73"/>
    <w:rsid w:val="20171E1F"/>
    <w:rsid w:val="201E5299"/>
    <w:rsid w:val="20265EB7"/>
    <w:rsid w:val="203E5733"/>
    <w:rsid w:val="2046439C"/>
    <w:rsid w:val="205505DC"/>
    <w:rsid w:val="20634A6C"/>
    <w:rsid w:val="207F6E45"/>
    <w:rsid w:val="208F0147"/>
    <w:rsid w:val="209133D5"/>
    <w:rsid w:val="20986FFA"/>
    <w:rsid w:val="209C5EE4"/>
    <w:rsid w:val="20AA127B"/>
    <w:rsid w:val="20AC4136"/>
    <w:rsid w:val="20C76815"/>
    <w:rsid w:val="20C83C5A"/>
    <w:rsid w:val="20D52BDD"/>
    <w:rsid w:val="20D74020"/>
    <w:rsid w:val="20EE0619"/>
    <w:rsid w:val="20F31970"/>
    <w:rsid w:val="20F9236D"/>
    <w:rsid w:val="21011441"/>
    <w:rsid w:val="21011C45"/>
    <w:rsid w:val="210F5030"/>
    <w:rsid w:val="21220CB4"/>
    <w:rsid w:val="212A0B50"/>
    <w:rsid w:val="219915F7"/>
    <w:rsid w:val="21AC6F26"/>
    <w:rsid w:val="21DB1B3C"/>
    <w:rsid w:val="21DC5389"/>
    <w:rsid w:val="22047DEA"/>
    <w:rsid w:val="2205691A"/>
    <w:rsid w:val="222310EB"/>
    <w:rsid w:val="22390517"/>
    <w:rsid w:val="223B166C"/>
    <w:rsid w:val="223B5225"/>
    <w:rsid w:val="223F14AB"/>
    <w:rsid w:val="22570940"/>
    <w:rsid w:val="22A11B04"/>
    <w:rsid w:val="22CD0FC4"/>
    <w:rsid w:val="22DE4C3E"/>
    <w:rsid w:val="22EB2B0A"/>
    <w:rsid w:val="22FF1036"/>
    <w:rsid w:val="230E5D1D"/>
    <w:rsid w:val="230F6767"/>
    <w:rsid w:val="23136913"/>
    <w:rsid w:val="2323771E"/>
    <w:rsid w:val="23404F51"/>
    <w:rsid w:val="234228C9"/>
    <w:rsid w:val="23512A48"/>
    <w:rsid w:val="235917D9"/>
    <w:rsid w:val="2361167E"/>
    <w:rsid w:val="236D6FD6"/>
    <w:rsid w:val="23780774"/>
    <w:rsid w:val="237A60CD"/>
    <w:rsid w:val="238F321F"/>
    <w:rsid w:val="2391174F"/>
    <w:rsid w:val="23A05B9B"/>
    <w:rsid w:val="23BB18BE"/>
    <w:rsid w:val="23EB2671"/>
    <w:rsid w:val="24126730"/>
    <w:rsid w:val="24194921"/>
    <w:rsid w:val="24243162"/>
    <w:rsid w:val="24285064"/>
    <w:rsid w:val="246317D9"/>
    <w:rsid w:val="24766248"/>
    <w:rsid w:val="24774B30"/>
    <w:rsid w:val="24857B17"/>
    <w:rsid w:val="24BD63B7"/>
    <w:rsid w:val="24BE00A8"/>
    <w:rsid w:val="24C76243"/>
    <w:rsid w:val="24D9714B"/>
    <w:rsid w:val="250072B2"/>
    <w:rsid w:val="251B248E"/>
    <w:rsid w:val="251F3B77"/>
    <w:rsid w:val="25492E1F"/>
    <w:rsid w:val="255C3437"/>
    <w:rsid w:val="25690F17"/>
    <w:rsid w:val="256C7EBD"/>
    <w:rsid w:val="256F7506"/>
    <w:rsid w:val="257B65B7"/>
    <w:rsid w:val="257E3F4E"/>
    <w:rsid w:val="25A55B92"/>
    <w:rsid w:val="25B855F5"/>
    <w:rsid w:val="25C40A00"/>
    <w:rsid w:val="25CE68AD"/>
    <w:rsid w:val="25D14236"/>
    <w:rsid w:val="25DE5435"/>
    <w:rsid w:val="25E45689"/>
    <w:rsid w:val="26026087"/>
    <w:rsid w:val="260B4BBB"/>
    <w:rsid w:val="261C7EDF"/>
    <w:rsid w:val="262A46B3"/>
    <w:rsid w:val="265443B2"/>
    <w:rsid w:val="265E2918"/>
    <w:rsid w:val="266D6B4B"/>
    <w:rsid w:val="26903D7B"/>
    <w:rsid w:val="26AD7177"/>
    <w:rsid w:val="26AE5F7B"/>
    <w:rsid w:val="26B1597A"/>
    <w:rsid w:val="26C03FD8"/>
    <w:rsid w:val="26C8506A"/>
    <w:rsid w:val="26DB1B56"/>
    <w:rsid w:val="27247EF5"/>
    <w:rsid w:val="27306469"/>
    <w:rsid w:val="273E1CAA"/>
    <w:rsid w:val="273F56F9"/>
    <w:rsid w:val="27412DFC"/>
    <w:rsid w:val="274448A4"/>
    <w:rsid w:val="2752400F"/>
    <w:rsid w:val="275E0FD4"/>
    <w:rsid w:val="27706C9F"/>
    <w:rsid w:val="278236AC"/>
    <w:rsid w:val="2794334D"/>
    <w:rsid w:val="279612A6"/>
    <w:rsid w:val="279D0C3A"/>
    <w:rsid w:val="27A75C0E"/>
    <w:rsid w:val="27CF5EEB"/>
    <w:rsid w:val="27D62566"/>
    <w:rsid w:val="27D809DA"/>
    <w:rsid w:val="280B3AA2"/>
    <w:rsid w:val="28111B94"/>
    <w:rsid w:val="282E03F2"/>
    <w:rsid w:val="28364982"/>
    <w:rsid w:val="28401816"/>
    <w:rsid w:val="28436FBE"/>
    <w:rsid w:val="2863321C"/>
    <w:rsid w:val="28731FCB"/>
    <w:rsid w:val="28936A3D"/>
    <w:rsid w:val="28A418B2"/>
    <w:rsid w:val="28B45299"/>
    <w:rsid w:val="28D71DFD"/>
    <w:rsid w:val="28D74B30"/>
    <w:rsid w:val="28DA570A"/>
    <w:rsid w:val="28EE6F21"/>
    <w:rsid w:val="28F575F5"/>
    <w:rsid w:val="29044C9D"/>
    <w:rsid w:val="29067F78"/>
    <w:rsid w:val="29096FDE"/>
    <w:rsid w:val="29126147"/>
    <w:rsid w:val="29162ADA"/>
    <w:rsid w:val="2920782E"/>
    <w:rsid w:val="29222A04"/>
    <w:rsid w:val="294564BE"/>
    <w:rsid w:val="29576510"/>
    <w:rsid w:val="295C320A"/>
    <w:rsid w:val="295E3E15"/>
    <w:rsid w:val="29A64869"/>
    <w:rsid w:val="29AD27D2"/>
    <w:rsid w:val="29D81B20"/>
    <w:rsid w:val="29DA4C7C"/>
    <w:rsid w:val="29FF51AF"/>
    <w:rsid w:val="2A026A6A"/>
    <w:rsid w:val="2A0F2C7E"/>
    <w:rsid w:val="2A1D0848"/>
    <w:rsid w:val="2A23048D"/>
    <w:rsid w:val="2A352838"/>
    <w:rsid w:val="2A3E6327"/>
    <w:rsid w:val="2A8451C1"/>
    <w:rsid w:val="2A870215"/>
    <w:rsid w:val="2A94330E"/>
    <w:rsid w:val="2A991E33"/>
    <w:rsid w:val="2AA05466"/>
    <w:rsid w:val="2AAD7F2D"/>
    <w:rsid w:val="2AB92D6A"/>
    <w:rsid w:val="2AB9650C"/>
    <w:rsid w:val="2AC07538"/>
    <w:rsid w:val="2ACF2A9F"/>
    <w:rsid w:val="2AF315F6"/>
    <w:rsid w:val="2AF379A6"/>
    <w:rsid w:val="2B1040A3"/>
    <w:rsid w:val="2B1A46B1"/>
    <w:rsid w:val="2B421115"/>
    <w:rsid w:val="2B4635C0"/>
    <w:rsid w:val="2B5C15EA"/>
    <w:rsid w:val="2B6868B9"/>
    <w:rsid w:val="2B81524F"/>
    <w:rsid w:val="2B8A6A29"/>
    <w:rsid w:val="2B8D17DD"/>
    <w:rsid w:val="2B8E3BA7"/>
    <w:rsid w:val="2BB84C3A"/>
    <w:rsid w:val="2BCE5022"/>
    <w:rsid w:val="2BD63160"/>
    <w:rsid w:val="2BD6379D"/>
    <w:rsid w:val="2BE047FC"/>
    <w:rsid w:val="2BE86924"/>
    <w:rsid w:val="2BF44BC3"/>
    <w:rsid w:val="2C0D4141"/>
    <w:rsid w:val="2C2D7E76"/>
    <w:rsid w:val="2C334219"/>
    <w:rsid w:val="2C4135DD"/>
    <w:rsid w:val="2C49164C"/>
    <w:rsid w:val="2C52538B"/>
    <w:rsid w:val="2C5F608D"/>
    <w:rsid w:val="2C624E46"/>
    <w:rsid w:val="2C7607D9"/>
    <w:rsid w:val="2C9E6F74"/>
    <w:rsid w:val="2CAF5B60"/>
    <w:rsid w:val="2CC4034A"/>
    <w:rsid w:val="2CDB3A3F"/>
    <w:rsid w:val="2CE06719"/>
    <w:rsid w:val="2CE14BB6"/>
    <w:rsid w:val="2CE752B0"/>
    <w:rsid w:val="2D1522F9"/>
    <w:rsid w:val="2D183896"/>
    <w:rsid w:val="2D34750E"/>
    <w:rsid w:val="2D3776DC"/>
    <w:rsid w:val="2D462556"/>
    <w:rsid w:val="2D591289"/>
    <w:rsid w:val="2D5B08BB"/>
    <w:rsid w:val="2D6002A9"/>
    <w:rsid w:val="2D6161A3"/>
    <w:rsid w:val="2D7D3BF3"/>
    <w:rsid w:val="2DA74D3A"/>
    <w:rsid w:val="2DA87A33"/>
    <w:rsid w:val="2DB2065A"/>
    <w:rsid w:val="2DB30D21"/>
    <w:rsid w:val="2DB822B3"/>
    <w:rsid w:val="2DBA33B3"/>
    <w:rsid w:val="2DC20E05"/>
    <w:rsid w:val="2DD84EA9"/>
    <w:rsid w:val="2DEA152C"/>
    <w:rsid w:val="2E0863DE"/>
    <w:rsid w:val="2E1A1F69"/>
    <w:rsid w:val="2E2517AD"/>
    <w:rsid w:val="2E3245B4"/>
    <w:rsid w:val="2E752332"/>
    <w:rsid w:val="2E7C0268"/>
    <w:rsid w:val="2E7D6EAC"/>
    <w:rsid w:val="2E7F3785"/>
    <w:rsid w:val="2E8714FA"/>
    <w:rsid w:val="2E9C43A3"/>
    <w:rsid w:val="2EA27122"/>
    <w:rsid w:val="2EB729F5"/>
    <w:rsid w:val="2EC054B1"/>
    <w:rsid w:val="2EC069D6"/>
    <w:rsid w:val="2EC60D2B"/>
    <w:rsid w:val="2EDF4E3C"/>
    <w:rsid w:val="2EE205C3"/>
    <w:rsid w:val="2EE92982"/>
    <w:rsid w:val="2F1F6221"/>
    <w:rsid w:val="2F240C8F"/>
    <w:rsid w:val="2F2B7440"/>
    <w:rsid w:val="2F3079F1"/>
    <w:rsid w:val="2F320631"/>
    <w:rsid w:val="2F3C1948"/>
    <w:rsid w:val="2F483B08"/>
    <w:rsid w:val="2F502697"/>
    <w:rsid w:val="2F573C5C"/>
    <w:rsid w:val="2F744FA3"/>
    <w:rsid w:val="2F8A3F84"/>
    <w:rsid w:val="2F9A27D0"/>
    <w:rsid w:val="2FD376AB"/>
    <w:rsid w:val="2FE3010E"/>
    <w:rsid w:val="2FFF1EE6"/>
    <w:rsid w:val="301C19F0"/>
    <w:rsid w:val="301E08F1"/>
    <w:rsid w:val="30290BE9"/>
    <w:rsid w:val="305F5448"/>
    <w:rsid w:val="306E6E00"/>
    <w:rsid w:val="307820AD"/>
    <w:rsid w:val="308B78F6"/>
    <w:rsid w:val="308F0680"/>
    <w:rsid w:val="309A725C"/>
    <w:rsid w:val="30A57987"/>
    <w:rsid w:val="30B30E8E"/>
    <w:rsid w:val="30DD0797"/>
    <w:rsid w:val="30E8643A"/>
    <w:rsid w:val="30EC6298"/>
    <w:rsid w:val="310A0EF7"/>
    <w:rsid w:val="31272066"/>
    <w:rsid w:val="313A0599"/>
    <w:rsid w:val="315202C6"/>
    <w:rsid w:val="31771D80"/>
    <w:rsid w:val="3179342C"/>
    <w:rsid w:val="317C076D"/>
    <w:rsid w:val="31885910"/>
    <w:rsid w:val="31914326"/>
    <w:rsid w:val="31916486"/>
    <w:rsid w:val="31C13FB5"/>
    <w:rsid w:val="31CF3EC2"/>
    <w:rsid w:val="31E53798"/>
    <w:rsid w:val="31E72F20"/>
    <w:rsid w:val="31EB14F3"/>
    <w:rsid w:val="31EF34FD"/>
    <w:rsid w:val="31FC491C"/>
    <w:rsid w:val="323017CF"/>
    <w:rsid w:val="323D791B"/>
    <w:rsid w:val="326846FF"/>
    <w:rsid w:val="326A530F"/>
    <w:rsid w:val="3270662D"/>
    <w:rsid w:val="329F58EF"/>
    <w:rsid w:val="32A67B46"/>
    <w:rsid w:val="32BC74BE"/>
    <w:rsid w:val="32C827A2"/>
    <w:rsid w:val="32CB52F1"/>
    <w:rsid w:val="32CC02A8"/>
    <w:rsid w:val="32CE724C"/>
    <w:rsid w:val="32D413C0"/>
    <w:rsid w:val="32D9022F"/>
    <w:rsid w:val="32DE16D5"/>
    <w:rsid w:val="33014BDD"/>
    <w:rsid w:val="330329BD"/>
    <w:rsid w:val="332977C6"/>
    <w:rsid w:val="334A513F"/>
    <w:rsid w:val="33507C5C"/>
    <w:rsid w:val="33682D42"/>
    <w:rsid w:val="337A2C83"/>
    <w:rsid w:val="33802791"/>
    <w:rsid w:val="33A1572E"/>
    <w:rsid w:val="33B11ADC"/>
    <w:rsid w:val="33B277EF"/>
    <w:rsid w:val="33D827A4"/>
    <w:rsid w:val="33E6582C"/>
    <w:rsid w:val="340A1948"/>
    <w:rsid w:val="341258ED"/>
    <w:rsid w:val="341727B8"/>
    <w:rsid w:val="341E7371"/>
    <w:rsid w:val="342C4C6E"/>
    <w:rsid w:val="345F2082"/>
    <w:rsid w:val="34A75155"/>
    <w:rsid w:val="34AC7802"/>
    <w:rsid w:val="34BC6A4C"/>
    <w:rsid w:val="34DA2E07"/>
    <w:rsid w:val="34E71F77"/>
    <w:rsid w:val="34F91369"/>
    <w:rsid w:val="352A08F8"/>
    <w:rsid w:val="352B5E2C"/>
    <w:rsid w:val="35414836"/>
    <w:rsid w:val="35415B51"/>
    <w:rsid w:val="35523CB4"/>
    <w:rsid w:val="35695A9D"/>
    <w:rsid w:val="356977B2"/>
    <w:rsid w:val="356B2569"/>
    <w:rsid w:val="357A482F"/>
    <w:rsid w:val="358B2D0F"/>
    <w:rsid w:val="3597045C"/>
    <w:rsid w:val="35A8230F"/>
    <w:rsid w:val="35B50BEC"/>
    <w:rsid w:val="35C413B1"/>
    <w:rsid w:val="35CE2846"/>
    <w:rsid w:val="35D80082"/>
    <w:rsid w:val="35E3078D"/>
    <w:rsid w:val="35FA42F2"/>
    <w:rsid w:val="360539E7"/>
    <w:rsid w:val="36215D48"/>
    <w:rsid w:val="364B294C"/>
    <w:rsid w:val="364C625A"/>
    <w:rsid w:val="364F2283"/>
    <w:rsid w:val="36533BC8"/>
    <w:rsid w:val="365B504C"/>
    <w:rsid w:val="36A25CE9"/>
    <w:rsid w:val="36AF74E0"/>
    <w:rsid w:val="36C67629"/>
    <w:rsid w:val="36CC3A60"/>
    <w:rsid w:val="36D84A9B"/>
    <w:rsid w:val="36E254FE"/>
    <w:rsid w:val="36EF0A65"/>
    <w:rsid w:val="36F666C2"/>
    <w:rsid w:val="36FE52B3"/>
    <w:rsid w:val="37056CB6"/>
    <w:rsid w:val="37112920"/>
    <w:rsid w:val="371461C6"/>
    <w:rsid w:val="3719493F"/>
    <w:rsid w:val="371D420A"/>
    <w:rsid w:val="37251807"/>
    <w:rsid w:val="372E63B3"/>
    <w:rsid w:val="37304171"/>
    <w:rsid w:val="37307555"/>
    <w:rsid w:val="374700E8"/>
    <w:rsid w:val="37735F39"/>
    <w:rsid w:val="37927D6D"/>
    <w:rsid w:val="37BE7CE9"/>
    <w:rsid w:val="37CC0461"/>
    <w:rsid w:val="37D12E9B"/>
    <w:rsid w:val="37DD2185"/>
    <w:rsid w:val="37EC45C5"/>
    <w:rsid w:val="37F01BC2"/>
    <w:rsid w:val="380738A5"/>
    <w:rsid w:val="38087E72"/>
    <w:rsid w:val="380B3DB4"/>
    <w:rsid w:val="381D6690"/>
    <w:rsid w:val="382A0889"/>
    <w:rsid w:val="383901DF"/>
    <w:rsid w:val="385C2B9C"/>
    <w:rsid w:val="385D36BB"/>
    <w:rsid w:val="385F6C9D"/>
    <w:rsid w:val="386A05EA"/>
    <w:rsid w:val="3886157E"/>
    <w:rsid w:val="3888380C"/>
    <w:rsid w:val="388D45E2"/>
    <w:rsid w:val="38922421"/>
    <w:rsid w:val="38935513"/>
    <w:rsid w:val="38A07526"/>
    <w:rsid w:val="38B90D36"/>
    <w:rsid w:val="38C208DD"/>
    <w:rsid w:val="38CB6203"/>
    <w:rsid w:val="38D03EE2"/>
    <w:rsid w:val="38DA4764"/>
    <w:rsid w:val="390E1393"/>
    <w:rsid w:val="39182669"/>
    <w:rsid w:val="39220B37"/>
    <w:rsid w:val="39256731"/>
    <w:rsid w:val="394A0A28"/>
    <w:rsid w:val="39680D03"/>
    <w:rsid w:val="396E557E"/>
    <w:rsid w:val="397450BA"/>
    <w:rsid w:val="39847F3B"/>
    <w:rsid w:val="39916308"/>
    <w:rsid w:val="39AF2B45"/>
    <w:rsid w:val="39CE44E9"/>
    <w:rsid w:val="39CE6B12"/>
    <w:rsid w:val="39D00B98"/>
    <w:rsid w:val="39D55836"/>
    <w:rsid w:val="39DF43B4"/>
    <w:rsid w:val="39E50495"/>
    <w:rsid w:val="39ED7746"/>
    <w:rsid w:val="39F6036C"/>
    <w:rsid w:val="3A086BDB"/>
    <w:rsid w:val="3A3633B6"/>
    <w:rsid w:val="3A3C1CBE"/>
    <w:rsid w:val="3A3E174A"/>
    <w:rsid w:val="3A3F25C5"/>
    <w:rsid w:val="3A4334D2"/>
    <w:rsid w:val="3A5C284E"/>
    <w:rsid w:val="3A6B2F2A"/>
    <w:rsid w:val="3A836027"/>
    <w:rsid w:val="3A8C3F74"/>
    <w:rsid w:val="3A8F79CC"/>
    <w:rsid w:val="3A9436B5"/>
    <w:rsid w:val="3A9930A1"/>
    <w:rsid w:val="3A9B55C9"/>
    <w:rsid w:val="3A9D005D"/>
    <w:rsid w:val="3AA20624"/>
    <w:rsid w:val="3AA430C9"/>
    <w:rsid w:val="3ABD5FAF"/>
    <w:rsid w:val="3AC85D8A"/>
    <w:rsid w:val="3ACB0E07"/>
    <w:rsid w:val="3AD84EC8"/>
    <w:rsid w:val="3AF95A04"/>
    <w:rsid w:val="3AFF0724"/>
    <w:rsid w:val="3B09392B"/>
    <w:rsid w:val="3B124E24"/>
    <w:rsid w:val="3B2254D5"/>
    <w:rsid w:val="3B335F1B"/>
    <w:rsid w:val="3B42401E"/>
    <w:rsid w:val="3B4E047B"/>
    <w:rsid w:val="3B542DAD"/>
    <w:rsid w:val="3B5B5F8C"/>
    <w:rsid w:val="3B5F0FAD"/>
    <w:rsid w:val="3B663A9B"/>
    <w:rsid w:val="3B706C66"/>
    <w:rsid w:val="3B7D161B"/>
    <w:rsid w:val="3B9310B9"/>
    <w:rsid w:val="3BAB34AD"/>
    <w:rsid w:val="3BB961E4"/>
    <w:rsid w:val="3BF4778A"/>
    <w:rsid w:val="3C571AC4"/>
    <w:rsid w:val="3C5F1DFF"/>
    <w:rsid w:val="3C701BD1"/>
    <w:rsid w:val="3C734E38"/>
    <w:rsid w:val="3C740474"/>
    <w:rsid w:val="3C8E0D1D"/>
    <w:rsid w:val="3C975B3E"/>
    <w:rsid w:val="3CAE0670"/>
    <w:rsid w:val="3CB57894"/>
    <w:rsid w:val="3CC352A5"/>
    <w:rsid w:val="3CCB479B"/>
    <w:rsid w:val="3CE04808"/>
    <w:rsid w:val="3CE30C62"/>
    <w:rsid w:val="3CEE20A5"/>
    <w:rsid w:val="3D1B1CA5"/>
    <w:rsid w:val="3D20729A"/>
    <w:rsid w:val="3D457E5C"/>
    <w:rsid w:val="3D6A3189"/>
    <w:rsid w:val="3D7302AF"/>
    <w:rsid w:val="3D737108"/>
    <w:rsid w:val="3D784FA2"/>
    <w:rsid w:val="3D84508D"/>
    <w:rsid w:val="3D8A6BEA"/>
    <w:rsid w:val="3D97382A"/>
    <w:rsid w:val="3DAC765D"/>
    <w:rsid w:val="3DB55B3A"/>
    <w:rsid w:val="3DC16941"/>
    <w:rsid w:val="3DD23911"/>
    <w:rsid w:val="3DDB0F2A"/>
    <w:rsid w:val="3DDE47D9"/>
    <w:rsid w:val="3E0C0783"/>
    <w:rsid w:val="3E0D2643"/>
    <w:rsid w:val="3E0F4FF2"/>
    <w:rsid w:val="3E141439"/>
    <w:rsid w:val="3E151FAE"/>
    <w:rsid w:val="3E1D000C"/>
    <w:rsid w:val="3E3E5325"/>
    <w:rsid w:val="3E474A4F"/>
    <w:rsid w:val="3E7F2800"/>
    <w:rsid w:val="3E807D9D"/>
    <w:rsid w:val="3E901C6D"/>
    <w:rsid w:val="3E9411B3"/>
    <w:rsid w:val="3EA86996"/>
    <w:rsid w:val="3EAD51B8"/>
    <w:rsid w:val="3EAE6395"/>
    <w:rsid w:val="3ED0493A"/>
    <w:rsid w:val="3EEA1E7F"/>
    <w:rsid w:val="3EF03C23"/>
    <w:rsid w:val="3F26056F"/>
    <w:rsid w:val="3F3D13E5"/>
    <w:rsid w:val="3F3F7A17"/>
    <w:rsid w:val="3F421930"/>
    <w:rsid w:val="3F5E3EDD"/>
    <w:rsid w:val="3F6054BD"/>
    <w:rsid w:val="3F860127"/>
    <w:rsid w:val="3FAF6CAF"/>
    <w:rsid w:val="3FB6202D"/>
    <w:rsid w:val="3FC32EAD"/>
    <w:rsid w:val="3FCE37E2"/>
    <w:rsid w:val="3FE14EF0"/>
    <w:rsid w:val="3FEF3360"/>
    <w:rsid w:val="40086DDB"/>
    <w:rsid w:val="401873FD"/>
    <w:rsid w:val="401F07D6"/>
    <w:rsid w:val="402E347A"/>
    <w:rsid w:val="40473E2E"/>
    <w:rsid w:val="40494930"/>
    <w:rsid w:val="40504A96"/>
    <w:rsid w:val="405E78FA"/>
    <w:rsid w:val="405F1461"/>
    <w:rsid w:val="408213D3"/>
    <w:rsid w:val="408E293E"/>
    <w:rsid w:val="409101D2"/>
    <w:rsid w:val="40946B4B"/>
    <w:rsid w:val="40C62B69"/>
    <w:rsid w:val="40C83E98"/>
    <w:rsid w:val="40CA6EEA"/>
    <w:rsid w:val="40E96AFA"/>
    <w:rsid w:val="40ED7013"/>
    <w:rsid w:val="40F63DFF"/>
    <w:rsid w:val="40F65534"/>
    <w:rsid w:val="40FF1A71"/>
    <w:rsid w:val="411C6845"/>
    <w:rsid w:val="41302B09"/>
    <w:rsid w:val="4135444D"/>
    <w:rsid w:val="4136159D"/>
    <w:rsid w:val="415A3112"/>
    <w:rsid w:val="416108D5"/>
    <w:rsid w:val="416B4D42"/>
    <w:rsid w:val="418812AD"/>
    <w:rsid w:val="41A35908"/>
    <w:rsid w:val="41D45B4E"/>
    <w:rsid w:val="41D52BE8"/>
    <w:rsid w:val="420633B4"/>
    <w:rsid w:val="420C746B"/>
    <w:rsid w:val="421C6725"/>
    <w:rsid w:val="422C32FE"/>
    <w:rsid w:val="423D129A"/>
    <w:rsid w:val="424D4DB6"/>
    <w:rsid w:val="425B3FFE"/>
    <w:rsid w:val="425E62FA"/>
    <w:rsid w:val="42772D21"/>
    <w:rsid w:val="427A03E9"/>
    <w:rsid w:val="42826C9E"/>
    <w:rsid w:val="428909B7"/>
    <w:rsid w:val="429B10D3"/>
    <w:rsid w:val="429C4A27"/>
    <w:rsid w:val="42A71DB4"/>
    <w:rsid w:val="42B4397A"/>
    <w:rsid w:val="42F556D4"/>
    <w:rsid w:val="43016055"/>
    <w:rsid w:val="431B07C7"/>
    <w:rsid w:val="431E641E"/>
    <w:rsid w:val="432A2277"/>
    <w:rsid w:val="433E701D"/>
    <w:rsid w:val="43474F6D"/>
    <w:rsid w:val="4348656E"/>
    <w:rsid w:val="435D7E6A"/>
    <w:rsid w:val="43627542"/>
    <w:rsid w:val="43915D72"/>
    <w:rsid w:val="43983BB8"/>
    <w:rsid w:val="43992BE3"/>
    <w:rsid w:val="43AFC705"/>
    <w:rsid w:val="43B81302"/>
    <w:rsid w:val="43EA515C"/>
    <w:rsid w:val="43EC26D4"/>
    <w:rsid w:val="442E6434"/>
    <w:rsid w:val="444114EB"/>
    <w:rsid w:val="44426D17"/>
    <w:rsid w:val="444844B5"/>
    <w:rsid w:val="444D23A5"/>
    <w:rsid w:val="445C5ACF"/>
    <w:rsid w:val="44636400"/>
    <w:rsid w:val="44692122"/>
    <w:rsid w:val="4471071C"/>
    <w:rsid w:val="44763273"/>
    <w:rsid w:val="447837FA"/>
    <w:rsid w:val="448033AE"/>
    <w:rsid w:val="44831F2E"/>
    <w:rsid w:val="4489778B"/>
    <w:rsid w:val="448F3F69"/>
    <w:rsid w:val="449627B0"/>
    <w:rsid w:val="44AD4A89"/>
    <w:rsid w:val="44B25DA1"/>
    <w:rsid w:val="44B61508"/>
    <w:rsid w:val="44BF1AB4"/>
    <w:rsid w:val="44C15E61"/>
    <w:rsid w:val="44E737FD"/>
    <w:rsid w:val="44F570BA"/>
    <w:rsid w:val="45067292"/>
    <w:rsid w:val="452100E5"/>
    <w:rsid w:val="452B456E"/>
    <w:rsid w:val="45523E74"/>
    <w:rsid w:val="45532BEC"/>
    <w:rsid w:val="456D575C"/>
    <w:rsid w:val="456F1917"/>
    <w:rsid w:val="4573350B"/>
    <w:rsid w:val="458F3EED"/>
    <w:rsid w:val="4598184C"/>
    <w:rsid w:val="459A4E12"/>
    <w:rsid w:val="45BB1A74"/>
    <w:rsid w:val="45BF5AC4"/>
    <w:rsid w:val="45CC09F2"/>
    <w:rsid w:val="45D87E3B"/>
    <w:rsid w:val="45F9437D"/>
    <w:rsid w:val="4601113F"/>
    <w:rsid w:val="4616206F"/>
    <w:rsid w:val="46406190"/>
    <w:rsid w:val="46435950"/>
    <w:rsid w:val="46502F12"/>
    <w:rsid w:val="46551B4B"/>
    <w:rsid w:val="465919E8"/>
    <w:rsid w:val="468B2219"/>
    <w:rsid w:val="46A11B1C"/>
    <w:rsid w:val="46AE6049"/>
    <w:rsid w:val="46B67C40"/>
    <w:rsid w:val="46B76832"/>
    <w:rsid w:val="47003AFC"/>
    <w:rsid w:val="47235EF5"/>
    <w:rsid w:val="47292ED3"/>
    <w:rsid w:val="47403AF0"/>
    <w:rsid w:val="47517B30"/>
    <w:rsid w:val="47583528"/>
    <w:rsid w:val="477E687D"/>
    <w:rsid w:val="478D2FE5"/>
    <w:rsid w:val="47A20044"/>
    <w:rsid w:val="47B13710"/>
    <w:rsid w:val="47B2305F"/>
    <w:rsid w:val="47B64498"/>
    <w:rsid w:val="47E42629"/>
    <w:rsid w:val="47E70BCD"/>
    <w:rsid w:val="480451CF"/>
    <w:rsid w:val="48195D05"/>
    <w:rsid w:val="481D1A3E"/>
    <w:rsid w:val="484F78B9"/>
    <w:rsid w:val="486E3B78"/>
    <w:rsid w:val="487140E5"/>
    <w:rsid w:val="48716881"/>
    <w:rsid w:val="4875707D"/>
    <w:rsid w:val="488B5EB9"/>
    <w:rsid w:val="48964241"/>
    <w:rsid w:val="48AA732F"/>
    <w:rsid w:val="48AC6CF2"/>
    <w:rsid w:val="48B50CFD"/>
    <w:rsid w:val="48DE0A43"/>
    <w:rsid w:val="48F101BF"/>
    <w:rsid w:val="48F77F7F"/>
    <w:rsid w:val="490E28DD"/>
    <w:rsid w:val="49170429"/>
    <w:rsid w:val="492C0AAF"/>
    <w:rsid w:val="49303625"/>
    <w:rsid w:val="493133B3"/>
    <w:rsid w:val="49431C3D"/>
    <w:rsid w:val="49457A4F"/>
    <w:rsid w:val="49583546"/>
    <w:rsid w:val="495B7FC0"/>
    <w:rsid w:val="497763E9"/>
    <w:rsid w:val="497D02F3"/>
    <w:rsid w:val="4984328A"/>
    <w:rsid w:val="49885AC5"/>
    <w:rsid w:val="498A58CA"/>
    <w:rsid w:val="499227C6"/>
    <w:rsid w:val="49B700C2"/>
    <w:rsid w:val="49BC14DE"/>
    <w:rsid w:val="49C75D9D"/>
    <w:rsid w:val="49D22870"/>
    <w:rsid w:val="49D35DDC"/>
    <w:rsid w:val="49F53B5A"/>
    <w:rsid w:val="49F60892"/>
    <w:rsid w:val="49FB62B2"/>
    <w:rsid w:val="49FE74D1"/>
    <w:rsid w:val="4A0A743B"/>
    <w:rsid w:val="4A181491"/>
    <w:rsid w:val="4A224DD0"/>
    <w:rsid w:val="4A362FD9"/>
    <w:rsid w:val="4A375CB9"/>
    <w:rsid w:val="4A3E1738"/>
    <w:rsid w:val="4A775CDC"/>
    <w:rsid w:val="4A83288C"/>
    <w:rsid w:val="4A8559C9"/>
    <w:rsid w:val="4AA01665"/>
    <w:rsid w:val="4AA104DD"/>
    <w:rsid w:val="4AA648DF"/>
    <w:rsid w:val="4AC026D3"/>
    <w:rsid w:val="4AC138F4"/>
    <w:rsid w:val="4ACE439D"/>
    <w:rsid w:val="4AD01DE2"/>
    <w:rsid w:val="4ADF641B"/>
    <w:rsid w:val="4B1E00F3"/>
    <w:rsid w:val="4B2560F1"/>
    <w:rsid w:val="4B3D5501"/>
    <w:rsid w:val="4B4337EF"/>
    <w:rsid w:val="4B441571"/>
    <w:rsid w:val="4B49079A"/>
    <w:rsid w:val="4B4A0EAE"/>
    <w:rsid w:val="4B4F5766"/>
    <w:rsid w:val="4B57255F"/>
    <w:rsid w:val="4B7C173D"/>
    <w:rsid w:val="4B830E67"/>
    <w:rsid w:val="4BB0180A"/>
    <w:rsid w:val="4BCD755F"/>
    <w:rsid w:val="4C071FB1"/>
    <w:rsid w:val="4C0B6FF6"/>
    <w:rsid w:val="4C3B5F12"/>
    <w:rsid w:val="4C51554C"/>
    <w:rsid w:val="4C5A48E0"/>
    <w:rsid w:val="4C660978"/>
    <w:rsid w:val="4C7A1C58"/>
    <w:rsid w:val="4C857123"/>
    <w:rsid w:val="4C8D6B45"/>
    <w:rsid w:val="4C95591F"/>
    <w:rsid w:val="4C9A1EEB"/>
    <w:rsid w:val="4CD37D2D"/>
    <w:rsid w:val="4CE602D0"/>
    <w:rsid w:val="4CF72F90"/>
    <w:rsid w:val="4D056962"/>
    <w:rsid w:val="4D094A78"/>
    <w:rsid w:val="4D302744"/>
    <w:rsid w:val="4D6C5F05"/>
    <w:rsid w:val="4D8169CE"/>
    <w:rsid w:val="4D8F0EA7"/>
    <w:rsid w:val="4DC01AEC"/>
    <w:rsid w:val="4DCE730D"/>
    <w:rsid w:val="4DD9667B"/>
    <w:rsid w:val="4DE677F2"/>
    <w:rsid w:val="4DED78CB"/>
    <w:rsid w:val="4DEE191A"/>
    <w:rsid w:val="4DF178AD"/>
    <w:rsid w:val="4E05399A"/>
    <w:rsid w:val="4E401D3C"/>
    <w:rsid w:val="4E445AF1"/>
    <w:rsid w:val="4E4F04A7"/>
    <w:rsid w:val="4E5637AD"/>
    <w:rsid w:val="4E693F6E"/>
    <w:rsid w:val="4E737B14"/>
    <w:rsid w:val="4E8021D6"/>
    <w:rsid w:val="4E891E96"/>
    <w:rsid w:val="4E897C0D"/>
    <w:rsid w:val="4E8E4760"/>
    <w:rsid w:val="4EA91DB2"/>
    <w:rsid w:val="4EB242D3"/>
    <w:rsid w:val="4EB50CF0"/>
    <w:rsid w:val="4EB6202E"/>
    <w:rsid w:val="4ECD5C18"/>
    <w:rsid w:val="4EEA7841"/>
    <w:rsid w:val="4EEE54EA"/>
    <w:rsid w:val="4F20422F"/>
    <w:rsid w:val="4F2E5162"/>
    <w:rsid w:val="4F4F5005"/>
    <w:rsid w:val="4F670AC0"/>
    <w:rsid w:val="4F81513A"/>
    <w:rsid w:val="4FC123E9"/>
    <w:rsid w:val="4FD72438"/>
    <w:rsid w:val="4FD97602"/>
    <w:rsid w:val="4FE366F4"/>
    <w:rsid w:val="4FF0163B"/>
    <w:rsid w:val="50087498"/>
    <w:rsid w:val="50200327"/>
    <w:rsid w:val="502177D4"/>
    <w:rsid w:val="502260C1"/>
    <w:rsid w:val="50371637"/>
    <w:rsid w:val="503C64D3"/>
    <w:rsid w:val="5046015B"/>
    <w:rsid w:val="504813D3"/>
    <w:rsid w:val="505156B7"/>
    <w:rsid w:val="5058535F"/>
    <w:rsid w:val="507E4FF6"/>
    <w:rsid w:val="50973DCE"/>
    <w:rsid w:val="50C87E85"/>
    <w:rsid w:val="50CA4D72"/>
    <w:rsid w:val="50E8687C"/>
    <w:rsid w:val="50EC459E"/>
    <w:rsid w:val="50FD10C1"/>
    <w:rsid w:val="510733F0"/>
    <w:rsid w:val="51097301"/>
    <w:rsid w:val="511B4AF7"/>
    <w:rsid w:val="51240A21"/>
    <w:rsid w:val="512E4EFB"/>
    <w:rsid w:val="5134663F"/>
    <w:rsid w:val="513E4C44"/>
    <w:rsid w:val="514677C3"/>
    <w:rsid w:val="514862BC"/>
    <w:rsid w:val="515D0B20"/>
    <w:rsid w:val="51707495"/>
    <w:rsid w:val="517F1E63"/>
    <w:rsid w:val="518565CA"/>
    <w:rsid w:val="518F6532"/>
    <w:rsid w:val="51AA4BBA"/>
    <w:rsid w:val="52097F75"/>
    <w:rsid w:val="521916DD"/>
    <w:rsid w:val="522B022C"/>
    <w:rsid w:val="52552BDB"/>
    <w:rsid w:val="52576705"/>
    <w:rsid w:val="526073F5"/>
    <w:rsid w:val="52621D4D"/>
    <w:rsid w:val="52694F5E"/>
    <w:rsid w:val="526E3F76"/>
    <w:rsid w:val="528641E0"/>
    <w:rsid w:val="528F79D6"/>
    <w:rsid w:val="52996826"/>
    <w:rsid w:val="529B5E82"/>
    <w:rsid w:val="52A52E01"/>
    <w:rsid w:val="52A563E4"/>
    <w:rsid w:val="52C71EEA"/>
    <w:rsid w:val="52C75A30"/>
    <w:rsid w:val="52D23437"/>
    <w:rsid w:val="52D61CAB"/>
    <w:rsid w:val="52EC7BF9"/>
    <w:rsid w:val="52EE0642"/>
    <w:rsid w:val="52F764C3"/>
    <w:rsid w:val="52FA5A48"/>
    <w:rsid w:val="530812D2"/>
    <w:rsid w:val="53126542"/>
    <w:rsid w:val="5318774D"/>
    <w:rsid w:val="532D7687"/>
    <w:rsid w:val="53482C8B"/>
    <w:rsid w:val="53572CBA"/>
    <w:rsid w:val="53642641"/>
    <w:rsid w:val="53786B82"/>
    <w:rsid w:val="53B50C9D"/>
    <w:rsid w:val="53B945D0"/>
    <w:rsid w:val="53BF6A2F"/>
    <w:rsid w:val="53C91100"/>
    <w:rsid w:val="53CE7D38"/>
    <w:rsid w:val="53D751BB"/>
    <w:rsid w:val="53DF8D11"/>
    <w:rsid w:val="53E45804"/>
    <w:rsid w:val="540110D5"/>
    <w:rsid w:val="542C484C"/>
    <w:rsid w:val="54340339"/>
    <w:rsid w:val="54474579"/>
    <w:rsid w:val="544B6807"/>
    <w:rsid w:val="545265F8"/>
    <w:rsid w:val="545A1502"/>
    <w:rsid w:val="54621CA2"/>
    <w:rsid w:val="546A6A42"/>
    <w:rsid w:val="546C0BBC"/>
    <w:rsid w:val="546D558C"/>
    <w:rsid w:val="547C6ECE"/>
    <w:rsid w:val="54A316CF"/>
    <w:rsid w:val="54DE5300"/>
    <w:rsid w:val="54E40F5A"/>
    <w:rsid w:val="550E077B"/>
    <w:rsid w:val="55283899"/>
    <w:rsid w:val="55373F4C"/>
    <w:rsid w:val="553B5757"/>
    <w:rsid w:val="55404D4B"/>
    <w:rsid w:val="55454B89"/>
    <w:rsid w:val="5545581E"/>
    <w:rsid w:val="554744B4"/>
    <w:rsid w:val="556E4D49"/>
    <w:rsid w:val="5571082F"/>
    <w:rsid w:val="558D2CB4"/>
    <w:rsid w:val="55933BEE"/>
    <w:rsid w:val="55A23AFA"/>
    <w:rsid w:val="55C022A4"/>
    <w:rsid w:val="55CB2228"/>
    <w:rsid w:val="55DB3A8F"/>
    <w:rsid w:val="55E926AE"/>
    <w:rsid w:val="55F60F3C"/>
    <w:rsid w:val="561135BF"/>
    <w:rsid w:val="562F29D7"/>
    <w:rsid w:val="564B07CA"/>
    <w:rsid w:val="564F0D29"/>
    <w:rsid w:val="565064F3"/>
    <w:rsid w:val="566C497E"/>
    <w:rsid w:val="567E577A"/>
    <w:rsid w:val="567F45BC"/>
    <w:rsid w:val="56881FA0"/>
    <w:rsid w:val="568B6BE1"/>
    <w:rsid w:val="56B24282"/>
    <w:rsid w:val="56F26607"/>
    <w:rsid w:val="56F63F01"/>
    <w:rsid w:val="56FF5CCF"/>
    <w:rsid w:val="571507BB"/>
    <w:rsid w:val="571D38E9"/>
    <w:rsid w:val="573801B8"/>
    <w:rsid w:val="574F726D"/>
    <w:rsid w:val="57500321"/>
    <w:rsid w:val="57555B1A"/>
    <w:rsid w:val="57886C07"/>
    <w:rsid w:val="578E475F"/>
    <w:rsid w:val="57906BB0"/>
    <w:rsid w:val="57BA3470"/>
    <w:rsid w:val="57C42532"/>
    <w:rsid w:val="57D844CF"/>
    <w:rsid w:val="57E65ACD"/>
    <w:rsid w:val="57EF5D1D"/>
    <w:rsid w:val="58064C56"/>
    <w:rsid w:val="581F7F76"/>
    <w:rsid w:val="582C78FD"/>
    <w:rsid w:val="582E5A78"/>
    <w:rsid w:val="58372E29"/>
    <w:rsid w:val="58500DFB"/>
    <w:rsid w:val="58595751"/>
    <w:rsid w:val="58641688"/>
    <w:rsid w:val="586C3B23"/>
    <w:rsid w:val="58880801"/>
    <w:rsid w:val="589447AE"/>
    <w:rsid w:val="589A1054"/>
    <w:rsid w:val="58A31C6C"/>
    <w:rsid w:val="58B3138A"/>
    <w:rsid w:val="58D87872"/>
    <w:rsid w:val="58DA6CC4"/>
    <w:rsid w:val="58E871DE"/>
    <w:rsid w:val="591E6727"/>
    <w:rsid w:val="59230C32"/>
    <w:rsid w:val="593E25BC"/>
    <w:rsid w:val="594061A2"/>
    <w:rsid w:val="596F2FFB"/>
    <w:rsid w:val="597B365C"/>
    <w:rsid w:val="598E2612"/>
    <w:rsid w:val="599D5CD2"/>
    <w:rsid w:val="59A75F54"/>
    <w:rsid w:val="59BB019A"/>
    <w:rsid w:val="59C73D89"/>
    <w:rsid w:val="59CA7400"/>
    <w:rsid w:val="59CE4A4D"/>
    <w:rsid w:val="59CF6227"/>
    <w:rsid w:val="59E9212F"/>
    <w:rsid w:val="59F111EB"/>
    <w:rsid w:val="59FA2D98"/>
    <w:rsid w:val="59FB5E3C"/>
    <w:rsid w:val="5A162C46"/>
    <w:rsid w:val="5A1C0936"/>
    <w:rsid w:val="5A375D31"/>
    <w:rsid w:val="5A382A84"/>
    <w:rsid w:val="5A467E38"/>
    <w:rsid w:val="5A496F86"/>
    <w:rsid w:val="5A4B4383"/>
    <w:rsid w:val="5A530363"/>
    <w:rsid w:val="5A5E045A"/>
    <w:rsid w:val="5A7D31C9"/>
    <w:rsid w:val="5A9B6FC7"/>
    <w:rsid w:val="5AA1710A"/>
    <w:rsid w:val="5AA172E6"/>
    <w:rsid w:val="5ADB3F97"/>
    <w:rsid w:val="5ADD5B1E"/>
    <w:rsid w:val="5B012D38"/>
    <w:rsid w:val="5B2C2E55"/>
    <w:rsid w:val="5B866368"/>
    <w:rsid w:val="5B8A7AA8"/>
    <w:rsid w:val="5B990B24"/>
    <w:rsid w:val="5BA7559F"/>
    <w:rsid w:val="5BC53090"/>
    <w:rsid w:val="5BDD0259"/>
    <w:rsid w:val="5BE27DC7"/>
    <w:rsid w:val="5BEA5B34"/>
    <w:rsid w:val="5C046D55"/>
    <w:rsid w:val="5C2E40B3"/>
    <w:rsid w:val="5C4E623B"/>
    <w:rsid w:val="5C59433E"/>
    <w:rsid w:val="5C5B461F"/>
    <w:rsid w:val="5C641887"/>
    <w:rsid w:val="5C684379"/>
    <w:rsid w:val="5C7C051B"/>
    <w:rsid w:val="5C857589"/>
    <w:rsid w:val="5CAA3EA8"/>
    <w:rsid w:val="5CAD784A"/>
    <w:rsid w:val="5CAE7FBD"/>
    <w:rsid w:val="5CC952F5"/>
    <w:rsid w:val="5CEA78F0"/>
    <w:rsid w:val="5CF41BCC"/>
    <w:rsid w:val="5D086B50"/>
    <w:rsid w:val="5D121055"/>
    <w:rsid w:val="5D130E67"/>
    <w:rsid w:val="5D1848E2"/>
    <w:rsid w:val="5D1B0CB0"/>
    <w:rsid w:val="5D332FB2"/>
    <w:rsid w:val="5D4B23A3"/>
    <w:rsid w:val="5D526B8D"/>
    <w:rsid w:val="5D651C6B"/>
    <w:rsid w:val="5D753542"/>
    <w:rsid w:val="5D7645B9"/>
    <w:rsid w:val="5D851A2B"/>
    <w:rsid w:val="5D9F251B"/>
    <w:rsid w:val="5DA17D85"/>
    <w:rsid w:val="5DA73D98"/>
    <w:rsid w:val="5DAC1AF7"/>
    <w:rsid w:val="5DB65395"/>
    <w:rsid w:val="5DC5242E"/>
    <w:rsid w:val="5DD53F33"/>
    <w:rsid w:val="5DD57708"/>
    <w:rsid w:val="5DDC1D2B"/>
    <w:rsid w:val="5E043249"/>
    <w:rsid w:val="5E084AAE"/>
    <w:rsid w:val="5E202AE5"/>
    <w:rsid w:val="5E29405A"/>
    <w:rsid w:val="5E2E66B2"/>
    <w:rsid w:val="5E4065C8"/>
    <w:rsid w:val="5E4B17AE"/>
    <w:rsid w:val="5E4F7E2A"/>
    <w:rsid w:val="5E803AA7"/>
    <w:rsid w:val="5E8358F9"/>
    <w:rsid w:val="5E880C4F"/>
    <w:rsid w:val="5E8B571A"/>
    <w:rsid w:val="5E9C1F59"/>
    <w:rsid w:val="5E9F11FF"/>
    <w:rsid w:val="5EA551B9"/>
    <w:rsid w:val="5EC02F7A"/>
    <w:rsid w:val="5ED365F6"/>
    <w:rsid w:val="5EDB7830"/>
    <w:rsid w:val="5F090791"/>
    <w:rsid w:val="5F096304"/>
    <w:rsid w:val="5F105FA5"/>
    <w:rsid w:val="5F1C434D"/>
    <w:rsid w:val="5F216FAA"/>
    <w:rsid w:val="5F2A1F55"/>
    <w:rsid w:val="5F440214"/>
    <w:rsid w:val="5F491499"/>
    <w:rsid w:val="5F4A45FF"/>
    <w:rsid w:val="5F535EB2"/>
    <w:rsid w:val="5F611572"/>
    <w:rsid w:val="5F7116EA"/>
    <w:rsid w:val="5F7C09D2"/>
    <w:rsid w:val="5F9B68F4"/>
    <w:rsid w:val="5F9E22A0"/>
    <w:rsid w:val="5F9F0A6C"/>
    <w:rsid w:val="5FA97849"/>
    <w:rsid w:val="5FAF49CF"/>
    <w:rsid w:val="5FD43334"/>
    <w:rsid w:val="5FD45505"/>
    <w:rsid w:val="5FD64B3F"/>
    <w:rsid w:val="601B5218"/>
    <w:rsid w:val="604924BF"/>
    <w:rsid w:val="605701FD"/>
    <w:rsid w:val="60634CA6"/>
    <w:rsid w:val="60660AA3"/>
    <w:rsid w:val="607430F1"/>
    <w:rsid w:val="60755DE2"/>
    <w:rsid w:val="607F4641"/>
    <w:rsid w:val="608902BB"/>
    <w:rsid w:val="608E3626"/>
    <w:rsid w:val="609F7AF5"/>
    <w:rsid w:val="60A20422"/>
    <w:rsid w:val="60E71269"/>
    <w:rsid w:val="60E90FBD"/>
    <w:rsid w:val="61086BCF"/>
    <w:rsid w:val="610B15B8"/>
    <w:rsid w:val="61203497"/>
    <w:rsid w:val="61261CDB"/>
    <w:rsid w:val="612E2DA8"/>
    <w:rsid w:val="614338F5"/>
    <w:rsid w:val="614B4E15"/>
    <w:rsid w:val="615434D1"/>
    <w:rsid w:val="6163494C"/>
    <w:rsid w:val="61864032"/>
    <w:rsid w:val="618C3195"/>
    <w:rsid w:val="619017B6"/>
    <w:rsid w:val="619047FD"/>
    <w:rsid w:val="61980057"/>
    <w:rsid w:val="6199236F"/>
    <w:rsid w:val="619A3960"/>
    <w:rsid w:val="61A5778C"/>
    <w:rsid w:val="61B53EED"/>
    <w:rsid w:val="620E117B"/>
    <w:rsid w:val="62235806"/>
    <w:rsid w:val="622D6958"/>
    <w:rsid w:val="62314E87"/>
    <w:rsid w:val="625E1F03"/>
    <w:rsid w:val="62762719"/>
    <w:rsid w:val="627A201A"/>
    <w:rsid w:val="62A03250"/>
    <w:rsid w:val="62AD793B"/>
    <w:rsid w:val="62CF03AF"/>
    <w:rsid w:val="62CF47E0"/>
    <w:rsid w:val="62DB05C7"/>
    <w:rsid w:val="62E73C04"/>
    <w:rsid w:val="62EF2267"/>
    <w:rsid w:val="630376A3"/>
    <w:rsid w:val="63075E71"/>
    <w:rsid w:val="631B668A"/>
    <w:rsid w:val="63260125"/>
    <w:rsid w:val="63614A10"/>
    <w:rsid w:val="63851839"/>
    <w:rsid w:val="63A220FB"/>
    <w:rsid w:val="63B432C1"/>
    <w:rsid w:val="63BE607A"/>
    <w:rsid w:val="63D930C2"/>
    <w:rsid w:val="63DE4999"/>
    <w:rsid w:val="63E35FAE"/>
    <w:rsid w:val="63E871A9"/>
    <w:rsid w:val="642319B9"/>
    <w:rsid w:val="642D0141"/>
    <w:rsid w:val="64340E37"/>
    <w:rsid w:val="643A37E0"/>
    <w:rsid w:val="643E36CD"/>
    <w:rsid w:val="64622E21"/>
    <w:rsid w:val="646558F0"/>
    <w:rsid w:val="646E1297"/>
    <w:rsid w:val="646F311D"/>
    <w:rsid w:val="648E2FA1"/>
    <w:rsid w:val="6497341D"/>
    <w:rsid w:val="64B65926"/>
    <w:rsid w:val="64C27233"/>
    <w:rsid w:val="64C500B1"/>
    <w:rsid w:val="64CA380C"/>
    <w:rsid w:val="64D201AC"/>
    <w:rsid w:val="64D365AD"/>
    <w:rsid w:val="64D9513C"/>
    <w:rsid w:val="64EA55C6"/>
    <w:rsid w:val="64F32D03"/>
    <w:rsid w:val="64FA7289"/>
    <w:rsid w:val="65394EFB"/>
    <w:rsid w:val="654571E2"/>
    <w:rsid w:val="65741EA7"/>
    <w:rsid w:val="65B35230"/>
    <w:rsid w:val="65BC561A"/>
    <w:rsid w:val="65C25751"/>
    <w:rsid w:val="65D667BE"/>
    <w:rsid w:val="65D8140D"/>
    <w:rsid w:val="65E81F26"/>
    <w:rsid w:val="65F568D3"/>
    <w:rsid w:val="66072FF2"/>
    <w:rsid w:val="660E4AB2"/>
    <w:rsid w:val="661F63E9"/>
    <w:rsid w:val="662B17B3"/>
    <w:rsid w:val="66334832"/>
    <w:rsid w:val="66422A6B"/>
    <w:rsid w:val="66472B28"/>
    <w:rsid w:val="66493C12"/>
    <w:rsid w:val="666C7B45"/>
    <w:rsid w:val="66814BCF"/>
    <w:rsid w:val="669200C0"/>
    <w:rsid w:val="6694714E"/>
    <w:rsid w:val="669C74AF"/>
    <w:rsid w:val="66A766CD"/>
    <w:rsid w:val="66B36CC1"/>
    <w:rsid w:val="66E30B01"/>
    <w:rsid w:val="670D2FF7"/>
    <w:rsid w:val="6721665E"/>
    <w:rsid w:val="67221D80"/>
    <w:rsid w:val="673005D7"/>
    <w:rsid w:val="6740103D"/>
    <w:rsid w:val="674227C3"/>
    <w:rsid w:val="6752515A"/>
    <w:rsid w:val="675C5E35"/>
    <w:rsid w:val="675D6FBF"/>
    <w:rsid w:val="676752BE"/>
    <w:rsid w:val="67AE5E26"/>
    <w:rsid w:val="67C91D3B"/>
    <w:rsid w:val="67CA2A9C"/>
    <w:rsid w:val="67E26F52"/>
    <w:rsid w:val="67E35AAB"/>
    <w:rsid w:val="67ED227B"/>
    <w:rsid w:val="67FB54FA"/>
    <w:rsid w:val="67FE3F09"/>
    <w:rsid w:val="6808720B"/>
    <w:rsid w:val="680C32F2"/>
    <w:rsid w:val="680F79F0"/>
    <w:rsid w:val="68230BAE"/>
    <w:rsid w:val="68316AE4"/>
    <w:rsid w:val="68B03F19"/>
    <w:rsid w:val="68B1630D"/>
    <w:rsid w:val="68B369BD"/>
    <w:rsid w:val="68B6263B"/>
    <w:rsid w:val="68CC2D48"/>
    <w:rsid w:val="6902085B"/>
    <w:rsid w:val="690F2E46"/>
    <w:rsid w:val="691335AF"/>
    <w:rsid w:val="691F7CB7"/>
    <w:rsid w:val="69386C84"/>
    <w:rsid w:val="693A156B"/>
    <w:rsid w:val="693B4B71"/>
    <w:rsid w:val="69531947"/>
    <w:rsid w:val="695C6EA2"/>
    <w:rsid w:val="695E12D0"/>
    <w:rsid w:val="695F7A2F"/>
    <w:rsid w:val="69702CE3"/>
    <w:rsid w:val="69844ACB"/>
    <w:rsid w:val="6987059B"/>
    <w:rsid w:val="69931D17"/>
    <w:rsid w:val="69CF3D3E"/>
    <w:rsid w:val="69D80212"/>
    <w:rsid w:val="6A14298E"/>
    <w:rsid w:val="6A232761"/>
    <w:rsid w:val="6A3257E3"/>
    <w:rsid w:val="6A3713CE"/>
    <w:rsid w:val="6A4728BE"/>
    <w:rsid w:val="6A4A6EE2"/>
    <w:rsid w:val="6A6B0445"/>
    <w:rsid w:val="6A724E43"/>
    <w:rsid w:val="6A7712AC"/>
    <w:rsid w:val="6A8A53A6"/>
    <w:rsid w:val="6A981B73"/>
    <w:rsid w:val="6AA441E1"/>
    <w:rsid w:val="6ABC4213"/>
    <w:rsid w:val="6ACC2924"/>
    <w:rsid w:val="6AE806E7"/>
    <w:rsid w:val="6AEA7BC4"/>
    <w:rsid w:val="6AF07B68"/>
    <w:rsid w:val="6AF5538E"/>
    <w:rsid w:val="6B017C65"/>
    <w:rsid w:val="6B0218DE"/>
    <w:rsid w:val="6B0C5753"/>
    <w:rsid w:val="6B1566EE"/>
    <w:rsid w:val="6B205AB8"/>
    <w:rsid w:val="6B3936EC"/>
    <w:rsid w:val="6B4508ED"/>
    <w:rsid w:val="6B7B523F"/>
    <w:rsid w:val="6B7B750E"/>
    <w:rsid w:val="6B7D4565"/>
    <w:rsid w:val="6B7F15B6"/>
    <w:rsid w:val="6B7F76E7"/>
    <w:rsid w:val="6B864EAA"/>
    <w:rsid w:val="6B9609A9"/>
    <w:rsid w:val="6B980735"/>
    <w:rsid w:val="6B990AFF"/>
    <w:rsid w:val="6BD969F4"/>
    <w:rsid w:val="6BF974A1"/>
    <w:rsid w:val="6BFD7659"/>
    <w:rsid w:val="6C0339F8"/>
    <w:rsid w:val="6C1D6B1F"/>
    <w:rsid w:val="6C217AA2"/>
    <w:rsid w:val="6C2731F4"/>
    <w:rsid w:val="6C37072E"/>
    <w:rsid w:val="6C597F59"/>
    <w:rsid w:val="6C64235D"/>
    <w:rsid w:val="6C6F4DEF"/>
    <w:rsid w:val="6C7930BB"/>
    <w:rsid w:val="6C8C6EE5"/>
    <w:rsid w:val="6C8F5EAD"/>
    <w:rsid w:val="6CCF70E3"/>
    <w:rsid w:val="6CD557BF"/>
    <w:rsid w:val="6CDE5808"/>
    <w:rsid w:val="6CE73B8C"/>
    <w:rsid w:val="6CEC3279"/>
    <w:rsid w:val="6CF7187E"/>
    <w:rsid w:val="6CFA7260"/>
    <w:rsid w:val="6CFB2D51"/>
    <w:rsid w:val="6D08461D"/>
    <w:rsid w:val="6D0F4E83"/>
    <w:rsid w:val="6D12656D"/>
    <w:rsid w:val="6D456C1A"/>
    <w:rsid w:val="6D5261B0"/>
    <w:rsid w:val="6D736FD9"/>
    <w:rsid w:val="6D8758B2"/>
    <w:rsid w:val="6D8D1393"/>
    <w:rsid w:val="6D930F7F"/>
    <w:rsid w:val="6D9B5A5A"/>
    <w:rsid w:val="6DA829F0"/>
    <w:rsid w:val="6DB934AF"/>
    <w:rsid w:val="6DBE7B2E"/>
    <w:rsid w:val="6DCC6E61"/>
    <w:rsid w:val="6DE80C67"/>
    <w:rsid w:val="6DEA7AA1"/>
    <w:rsid w:val="6DF51A12"/>
    <w:rsid w:val="6DF542AC"/>
    <w:rsid w:val="6DF70216"/>
    <w:rsid w:val="6DF91FED"/>
    <w:rsid w:val="6DFD7A20"/>
    <w:rsid w:val="6E056E7B"/>
    <w:rsid w:val="6E0E03A2"/>
    <w:rsid w:val="6E2E6DE4"/>
    <w:rsid w:val="6E376C6B"/>
    <w:rsid w:val="6E5D5E50"/>
    <w:rsid w:val="6E5E5903"/>
    <w:rsid w:val="6E9F4F28"/>
    <w:rsid w:val="6EA72AA4"/>
    <w:rsid w:val="6EA82551"/>
    <w:rsid w:val="6EAB401A"/>
    <w:rsid w:val="6EAB7FA7"/>
    <w:rsid w:val="6EF01E2F"/>
    <w:rsid w:val="6EF3000B"/>
    <w:rsid w:val="6EF46CB1"/>
    <w:rsid w:val="6F306A01"/>
    <w:rsid w:val="6F417267"/>
    <w:rsid w:val="6F49087F"/>
    <w:rsid w:val="6F5D7526"/>
    <w:rsid w:val="6F743A15"/>
    <w:rsid w:val="6F7C5758"/>
    <w:rsid w:val="6F857969"/>
    <w:rsid w:val="6F873C40"/>
    <w:rsid w:val="6F8C6D83"/>
    <w:rsid w:val="6F8E0EBD"/>
    <w:rsid w:val="6FC15138"/>
    <w:rsid w:val="6FC43B76"/>
    <w:rsid w:val="6FCA35B1"/>
    <w:rsid w:val="6FD60B01"/>
    <w:rsid w:val="6FD61F4C"/>
    <w:rsid w:val="6FE93DC7"/>
    <w:rsid w:val="6FFD0EF6"/>
    <w:rsid w:val="700B4B18"/>
    <w:rsid w:val="70165602"/>
    <w:rsid w:val="702E2FEC"/>
    <w:rsid w:val="7032127E"/>
    <w:rsid w:val="704A4FCE"/>
    <w:rsid w:val="70502B5B"/>
    <w:rsid w:val="70594F7A"/>
    <w:rsid w:val="705C1F06"/>
    <w:rsid w:val="705E026B"/>
    <w:rsid w:val="70653007"/>
    <w:rsid w:val="706C54B2"/>
    <w:rsid w:val="708712E8"/>
    <w:rsid w:val="70913B34"/>
    <w:rsid w:val="70933692"/>
    <w:rsid w:val="70937E71"/>
    <w:rsid w:val="709839DC"/>
    <w:rsid w:val="70A94A9D"/>
    <w:rsid w:val="70C34CC4"/>
    <w:rsid w:val="70C6709A"/>
    <w:rsid w:val="70D03504"/>
    <w:rsid w:val="70D87574"/>
    <w:rsid w:val="71047164"/>
    <w:rsid w:val="711118C7"/>
    <w:rsid w:val="71354853"/>
    <w:rsid w:val="713F6AB9"/>
    <w:rsid w:val="714F4180"/>
    <w:rsid w:val="717F5755"/>
    <w:rsid w:val="71945623"/>
    <w:rsid w:val="71A160E0"/>
    <w:rsid w:val="71A93114"/>
    <w:rsid w:val="71DC6F85"/>
    <w:rsid w:val="71E11719"/>
    <w:rsid w:val="71E21048"/>
    <w:rsid w:val="71ED41FB"/>
    <w:rsid w:val="71F90F41"/>
    <w:rsid w:val="72033446"/>
    <w:rsid w:val="720359BB"/>
    <w:rsid w:val="7221573E"/>
    <w:rsid w:val="723D492B"/>
    <w:rsid w:val="72402036"/>
    <w:rsid w:val="72765A58"/>
    <w:rsid w:val="728A2798"/>
    <w:rsid w:val="7297370C"/>
    <w:rsid w:val="72A0287C"/>
    <w:rsid w:val="72A35B66"/>
    <w:rsid w:val="72B84D72"/>
    <w:rsid w:val="72C61446"/>
    <w:rsid w:val="72E20324"/>
    <w:rsid w:val="72E30F81"/>
    <w:rsid w:val="72F05946"/>
    <w:rsid w:val="72F90A57"/>
    <w:rsid w:val="73034296"/>
    <w:rsid w:val="73074A3F"/>
    <w:rsid w:val="730E714F"/>
    <w:rsid w:val="7314163A"/>
    <w:rsid w:val="731840C2"/>
    <w:rsid w:val="732710F7"/>
    <w:rsid w:val="73273421"/>
    <w:rsid w:val="733A4B70"/>
    <w:rsid w:val="73457CD5"/>
    <w:rsid w:val="73467040"/>
    <w:rsid w:val="735414AB"/>
    <w:rsid w:val="73585977"/>
    <w:rsid w:val="73757EE2"/>
    <w:rsid w:val="737E7009"/>
    <w:rsid w:val="73947FD2"/>
    <w:rsid w:val="73966489"/>
    <w:rsid w:val="73A279E4"/>
    <w:rsid w:val="73B7047C"/>
    <w:rsid w:val="73CE056A"/>
    <w:rsid w:val="73CE3404"/>
    <w:rsid w:val="73E117E7"/>
    <w:rsid w:val="73EE3402"/>
    <w:rsid w:val="740933ED"/>
    <w:rsid w:val="744F70D2"/>
    <w:rsid w:val="74581A25"/>
    <w:rsid w:val="745D3EE4"/>
    <w:rsid w:val="745E3838"/>
    <w:rsid w:val="746436D6"/>
    <w:rsid w:val="7488738D"/>
    <w:rsid w:val="74B17D70"/>
    <w:rsid w:val="74D15837"/>
    <w:rsid w:val="74DC66A1"/>
    <w:rsid w:val="74DE79FC"/>
    <w:rsid w:val="74F1571E"/>
    <w:rsid w:val="74F15FC7"/>
    <w:rsid w:val="750162E5"/>
    <w:rsid w:val="75024279"/>
    <w:rsid w:val="750708A8"/>
    <w:rsid w:val="750737DD"/>
    <w:rsid w:val="754B033D"/>
    <w:rsid w:val="755D03ED"/>
    <w:rsid w:val="75615BC0"/>
    <w:rsid w:val="758315FB"/>
    <w:rsid w:val="758C6DAA"/>
    <w:rsid w:val="75915EE7"/>
    <w:rsid w:val="75B43F34"/>
    <w:rsid w:val="75D0266A"/>
    <w:rsid w:val="75D04561"/>
    <w:rsid w:val="75D943B5"/>
    <w:rsid w:val="75F6029E"/>
    <w:rsid w:val="75F9782B"/>
    <w:rsid w:val="760148CD"/>
    <w:rsid w:val="76037528"/>
    <w:rsid w:val="76054233"/>
    <w:rsid w:val="76091100"/>
    <w:rsid w:val="760F6C36"/>
    <w:rsid w:val="762509A5"/>
    <w:rsid w:val="763A5E73"/>
    <w:rsid w:val="76476586"/>
    <w:rsid w:val="76570EE8"/>
    <w:rsid w:val="765D0803"/>
    <w:rsid w:val="76731C8A"/>
    <w:rsid w:val="76750BBB"/>
    <w:rsid w:val="767F7422"/>
    <w:rsid w:val="769A7883"/>
    <w:rsid w:val="769E16FA"/>
    <w:rsid w:val="76A92569"/>
    <w:rsid w:val="76B83FF2"/>
    <w:rsid w:val="76BA61AB"/>
    <w:rsid w:val="76DC5EA0"/>
    <w:rsid w:val="770F3A12"/>
    <w:rsid w:val="771D6C17"/>
    <w:rsid w:val="77384D70"/>
    <w:rsid w:val="773D05F4"/>
    <w:rsid w:val="774D7760"/>
    <w:rsid w:val="77603A45"/>
    <w:rsid w:val="776913E8"/>
    <w:rsid w:val="77741C98"/>
    <w:rsid w:val="77826847"/>
    <w:rsid w:val="779454E7"/>
    <w:rsid w:val="779B6E46"/>
    <w:rsid w:val="77A416B7"/>
    <w:rsid w:val="77C96736"/>
    <w:rsid w:val="77DB006E"/>
    <w:rsid w:val="77DB7EE5"/>
    <w:rsid w:val="77EF4753"/>
    <w:rsid w:val="77F61450"/>
    <w:rsid w:val="77F7798A"/>
    <w:rsid w:val="781658DD"/>
    <w:rsid w:val="782367C8"/>
    <w:rsid w:val="78601517"/>
    <w:rsid w:val="786B3F61"/>
    <w:rsid w:val="787023A5"/>
    <w:rsid w:val="78751C51"/>
    <w:rsid w:val="78784500"/>
    <w:rsid w:val="787D0A87"/>
    <w:rsid w:val="78801301"/>
    <w:rsid w:val="78A72BBF"/>
    <w:rsid w:val="78BE7F64"/>
    <w:rsid w:val="78C92121"/>
    <w:rsid w:val="78FC467D"/>
    <w:rsid w:val="790E1A24"/>
    <w:rsid w:val="79366EC7"/>
    <w:rsid w:val="793F1E70"/>
    <w:rsid w:val="795353E8"/>
    <w:rsid w:val="79583805"/>
    <w:rsid w:val="795B3358"/>
    <w:rsid w:val="795C058A"/>
    <w:rsid w:val="795E47C0"/>
    <w:rsid w:val="79722D00"/>
    <w:rsid w:val="798531A5"/>
    <w:rsid w:val="79886A77"/>
    <w:rsid w:val="79913ACD"/>
    <w:rsid w:val="799F3864"/>
    <w:rsid w:val="799F5810"/>
    <w:rsid w:val="79AC68F9"/>
    <w:rsid w:val="79D17140"/>
    <w:rsid w:val="79E7143F"/>
    <w:rsid w:val="79E72210"/>
    <w:rsid w:val="79F84787"/>
    <w:rsid w:val="79FD13AA"/>
    <w:rsid w:val="7A003BE7"/>
    <w:rsid w:val="7A100F23"/>
    <w:rsid w:val="7A12055A"/>
    <w:rsid w:val="7A3279CD"/>
    <w:rsid w:val="7A382ABE"/>
    <w:rsid w:val="7A577A9F"/>
    <w:rsid w:val="7A5B475E"/>
    <w:rsid w:val="7A6D1A86"/>
    <w:rsid w:val="7A847C4E"/>
    <w:rsid w:val="7A96770E"/>
    <w:rsid w:val="7AB03518"/>
    <w:rsid w:val="7AB91252"/>
    <w:rsid w:val="7AC16B55"/>
    <w:rsid w:val="7AC863E9"/>
    <w:rsid w:val="7AC9613A"/>
    <w:rsid w:val="7AD51F45"/>
    <w:rsid w:val="7ADE0E5C"/>
    <w:rsid w:val="7B110BE5"/>
    <w:rsid w:val="7B1A3A2E"/>
    <w:rsid w:val="7B2A520D"/>
    <w:rsid w:val="7B2E0813"/>
    <w:rsid w:val="7B2F30FF"/>
    <w:rsid w:val="7B351C0D"/>
    <w:rsid w:val="7B570212"/>
    <w:rsid w:val="7B5B784D"/>
    <w:rsid w:val="7B624058"/>
    <w:rsid w:val="7B6263A4"/>
    <w:rsid w:val="7B642A8B"/>
    <w:rsid w:val="7B7A5F37"/>
    <w:rsid w:val="7B7F0F95"/>
    <w:rsid w:val="7B86023B"/>
    <w:rsid w:val="7BAC5EBE"/>
    <w:rsid w:val="7BCC2512"/>
    <w:rsid w:val="7BEC65B2"/>
    <w:rsid w:val="7C246F49"/>
    <w:rsid w:val="7C410355"/>
    <w:rsid w:val="7C56558A"/>
    <w:rsid w:val="7C5C6587"/>
    <w:rsid w:val="7C60387A"/>
    <w:rsid w:val="7C8B725A"/>
    <w:rsid w:val="7C9C7CD8"/>
    <w:rsid w:val="7CC764A7"/>
    <w:rsid w:val="7CCB7DDE"/>
    <w:rsid w:val="7CFF7B29"/>
    <w:rsid w:val="7D0B5E62"/>
    <w:rsid w:val="7D1A1E3A"/>
    <w:rsid w:val="7D1D3ABA"/>
    <w:rsid w:val="7D1D75E8"/>
    <w:rsid w:val="7D560B07"/>
    <w:rsid w:val="7D6B13E9"/>
    <w:rsid w:val="7D70010F"/>
    <w:rsid w:val="7D8770BE"/>
    <w:rsid w:val="7DA12F6E"/>
    <w:rsid w:val="7DB85FF4"/>
    <w:rsid w:val="7DD562A4"/>
    <w:rsid w:val="7DDF22ED"/>
    <w:rsid w:val="7DED327A"/>
    <w:rsid w:val="7DF23CCD"/>
    <w:rsid w:val="7E0C4BBE"/>
    <w:rsid w:val="7E161B02"/>
    <w:rsid w:val="7E334CEA"/>
    <w:rsid w:val="7E5F334D"/>
    <w:rsid w:val="7E676F8F"/>
    <w:rsid w:val="7E713604"/>
    <w:rsid w:val="7E734FF0"/>
    <w:rsid w:val="7E960A78"/>
    <w:rsid w:val="7EA87AF6"/>
    <w:rsid w:val="7EAA3199"/>
    <w:rsid w:val="7EAF1C69"/>
    <w:rsid w:val="7EB16089"/>
    <w:rsid w:val="7EBE3207"/>
    <w:rsid w:val="7EC42A5C"/>
    <w:rsid w:val="7EC8125F"/>
    <w:rsid w:val="7ECE580C"/>
    <w:rsid w:val="7ED019A3"/>
    <w:rsid w:val="7ED47540"/>
    <w:rsid w:val="7EE9752D"/>
    <w:rsid w:val="7EFC10C0"/>
    <w:rsid w:val="7F0744A6"/>
    <w:rsid w:val="7F14384C"/>
    <w:rsid w:val="7F144678"/>
    <w:rsid w:val="7F217ED5"/>
    <w:rsid w:val="7F294117"/>
    <w:rsid w:val="7F2B4697"/>
    <w:rsid w:val="7F395568"/>
    <w:rsid w:val="7F496005"/>
    <w:rsid w:val="7F4E2E0E"/>
    <w:rsid w:val="7F503F37"/>
    <w:rsid w:val="7F515781"/>
    <w:rsid w:val="7F552BD1"/>
    <w:rsid w:val="7F5719F7"/>
    <w:rsid w:val="7F6E079D"/>
    <w:rsid w:val="7F7711CC"/>
    <w:rsid w:val="7F7B26DC"/>
    <w:rsid w:val="7F91748F"/>
    <w:rsid w:val="7F945D87"/>
    <w:rsid w:val="7F98478A"/>
    <w:rsid w:val="7FA76D3D"/>
    <w:rsid w:val="7FB134CD"/>
    <w:rsid w:val="7FB84BCD"/>
    <w:rsid w:val="7FC4322C"/>
    <w:rsid w:val="7FE302FF"/>
    <w:rsid w:val="7FE4355E"/>
    <w:rsid w:val="7FE94CF9"/>
    <w:rsid w:val="7FEC0CA6"/>
    <w:rsid w:val="A2CDA67A"/>
    <w:rsid w:val="BFEE39EA"/>
    <w:rsid w:val="CEF767B0"/>
    <w:rsid w:val="DE9735E4"/>
    <w:rsid w:val="DFCB956A"/>
    <w:rsid w:val="FEB78E56"/>
    <w:rsid w:val="FFF5EC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4">
    <w:name w:val="Body Text"/>
    <w:basedOn w:val="1"/>
    <w:unhideWhenUsed/>
    <w:qFormat/>
    <w:uiPriority w:val="99"/>
    <w:rPr>
      <w:szCs w:val="20"/>
    </w:rPr>
  </w:style>
  <w:style w:type="paragraph" w:styleId="5">
    <w:name w:val="Balloon Text"/>
    <w:basedOn w:val="1"/>
    <w:semiHidden/>
    <w:qFormat/>
    <w:uiPriority w:val="0"/>
    <w:rPr>
      <w:sz w:val="18"/>
      <w:szCs w:val="18"/>
    </w:rPr>
  </w:style>
  <w:style w:type="paragraph" w:styleId="6">
    <w:name w:val="footer"/>
    <w:basedOn w:val="1"/>
    <w:next w:val="1"/>
    <w:qFormat/>
    <w:uiPriority w:val="0"/>
    <w:pPr>
      <w:tabs>
        <w:tab w:val="center" w:pos="4153"/>
        <w:tab w:val="right" w:pos="8306"/>
      </w:tabs>
      <w:snapToGrid w:val="0"/>
      <w:spacing w:line="240" w:lineRule="atLeast"/>
      <w:jc w:val="left"/>
    </w:pPr>
    <w:rPr>
      <w:sz w:val="18"/>
      <w:szCs w:val="18"/>
    </w:rPr>
  </w:style>
  <w:style w:type="paragraph" w:styleId="7">
    <w:name w:val="header"/>
    <w:basedOn w:val="1"/>
    <w:next w:val="6"/>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9">
    <w:name w:val="Body Text First Indent"/>
    <w:basedOn w:val="4"/>
    <w:unhideWhenUsed/>
    <w:qFormat/>
    <w:uiPriority w:val="99"/>
    <w:pPr>
      <w:spacing w:after="120" w:afterLines="0"/>
      <w:ind w:firstLine="420" w:firstLineChars="100"/>
    </w:pPr>
    <w:rPr>
      <w:sz w:val="21"/>
      <w:szCs w:val="24"/>
    </w:rPr>
  </w:style>
  <w:style w:type="character" w:styleId="12">
    <w:name w:val="page number"/>
    <w:basedOn w:val="11"/>
    <w:qFormat/>
    <w:uiPriority w:val="0"/>
  </w:style>
  <w:style w:type="character" w:styleId="13">
    <w:name w:val="Emphasis"/>
    <w:basedOn w:val="11"/>
    <w:qFormat/>
    <w:uiPriority w:val="0"/>
    <w:rPr>
      <w:i/>
    </w:rPr>
  </w:style>
  <w:style w:type="character" w:styleId="14">
    <w:name w:val="HTML Code"/>
    <w:basedOn w:val="11"/>
    <w:qFormat/>
    <w:uiPriority w:val="0"/>
    <w:rPr>
      <w:rFonts w:ascii="Courier New" w:hAnsi="Courier New"/>
      <w:sz w:val="20"/>
    </w:rPr>
  </w:style>
  <w:style w:type="paragraph" w:customStyle="1" w:styleId="15">
    <w:name w:val="Body Text First Indent 21"/>
    <w:basedOn w:val="1"/>
    <w:qFormat/>
    <w:uiPriority w:val="0"/>
    <w:pPr>
      <w:spacing w:before="100" w:beforeAutospacing="1" w:after="100" w:afterAutospacing="1" w:line="540" w:lineRule="exact"/>
    </w:pPr>
    <w:rPr>
      <w:sz w:val="28"/>
      <w:szCs w:val="28"/>
    </w:rPr>
  </w:style>
  <w:style w:type="paragraph" w:customStyle="1" w:styleId="16">
    <w:name w:val="Body Text First Indent 2"/>
    <w:basedOn w:val="17"/>
    <w:qFormat/>
    <w:uiPriority w:val="0"/>
    <w:pPr>
      <w:spacing w:after="120" w:afterLines="0" w:line="240" w:lineRule="auto"/>
      <w:ind w:left="420" w:leftChars="200" w:firstLine="420"/>
    </w:pPr>
  </w:style>
  <w:style w:type="paragraph" w:customStyle="1" w:styleId="17">
    <w:name w:val="Body Text Indent"/>
    <w:basedOn w:val="1"/>
    <w:next w:val="7"/>
    <w:qFormat/>
    <w:uiPriority w:val="0"/>
    <w:pPr>
      <w:spacing w:line="580" w:lineRule="exact"/>
      <w:ind w:firstLine="200" w:firstLineChars="200"/>
    </w:pPr>
  </w:style>
  <w:style w:type="character" w:customStyle="1" w:styleId="18">
    <w:name w:val="链接"/>
    <w:basedOn w:val="11"/>
    <w:qFormat/>
    <w:uiPriority w:val="0"/>
    <w:rPr>
      <w:rFonts w:ascii="Times New Roman" w:eastAsia="宋体"/>
      <w:color w:val="0000FF"/>
      <w:sz w:val="21"/>
      <w:u w:val="single" w:color="0000FF"/>
      <w:vertAlign w:val="baseline"/>
      <w:lang w:val="en-US" w:eastAsia="zh-CN"/>
    </w:rPr>
  </w:style>
  <w:style w:type="paragraph" w:customStyle="1" w:styleId="19">
    <w:name w:val="文章总标题"/>
    <w:basedOn w:val="1"/>
    <w:next w:val="20"/>
    <w:qFormat/>
    <w:uiPriority w:val="0"/>
    <w:pPr>
      <w:spacing w:before="566" w:after="544" w:line="566" w:lineRule="atLeast"/>
      <w:ind w:firstLine="0"/>
      <w:jc w:val="center"/>
      <w:textAlignment w:val="baseline"/>
    </w:pPr>
    <w:rPr>
      <w:rFonts w:ascii="Arial" w:eastAsia="黑体"/>
      <w:color w:val="000000"/>
      <w:sz w:val="54"/>
      <w:u w:val="none" w:color="000000"/>
      <w:vertAlign w:val="baseline"/>
      <w:lang w:val="en-US" w:eastAsia="zh-CN"/>
    </w:rPr>
  </w:style>
  <w:style w:type="paragraph" w:customStyle="1" w:styleId="20">
    <w:name w:val="文章附标题"/>
    <w:basedOn w:val="1"/>
    <w:next w:val="21"/>
    <w:qFormat/>
    <w:uiPriority w:val="0"/>
    <w:pPr>
      <w:spacing w:before="187" w:after="175" w:line="374" w:lineRule="atLeast"/>
      <w:ind w:firstLine="0"/>
      <w:jc w:val="center"/>
      <w:textAlignment w:val="baseline"/>
    </w:pPr>
    <w:rPr>
      <w:rFonts w:ascii="Times New Roman" w:eastAsia="宋体"/>
      <w:color w:val="000000"/>
      <w:sz w:val="36"/>
      <w:u w:val="none" w:color="000000"/>
      <w:vertAlign w:val="baseline"/>
      <w:lang w:val="en-US" w:eastAsia="zh-CN"/>
    </w:rPr>
  </w:style>
  <w:style w:type="paragraph" w:customStyle="1" w:styleId="21">
    <w:name w:val="章标题"/>
    <w:basedOn w:val="1"/>
    <w:next w:val="22"/>
    <w:qFormat/>
    <w:uiPriority w:val="0"/>
    <w:pPr>
      <w:spacing w:before="158" w:after="153" w:line="323" w:lineRule="atLeast"/>
      <w:ind w:firstLine="0"/>
      <w:jc w:val="center"/>
      <w:textAlignment w:val="baseline"/>
    </w:pPr>
    <w:rPr>
      <w:rFonts w:ascii="Arial" w:eastAsia="黑体"/>
      <w:color w:val="000000"/>
      <w:sz w:val="31"/>
      <w:u w:val="none" w:color="000000"/>
      <w:vertAlign w:val="baseline"/>
      <w:lang w:val="en-US" w:eastAsia="zh-CN"/>
    </w:rPr>
  </w:style>
  <w:style w:type="paragraph" w:customStyle="1" w:styleId="22">
    <w:name w:val="节标题"/>
    <w:basedOn w:val="1"/>
    <w:next w:val="23"/>
    <w:qFormat/>
    <w:uiPriority w:val="0"/>
    <w:pPr>
      <w:spacing w:line="289" w:lineRule="atLeast"/>
      <w:ind w:firstLine="0"/>
      <w:jc w:val="center"/>
      <w:textAlignment w:val="baseline"/>
    </w:pPr>
    <w:rPr>
      <w:rFonts w:ascii="Times New Roman" w:eastAsia="宋体"/>
      <w:color w:val="000000"/>
      <w:sz w:val="28"/>
      <w:u w:val="none" w:color="000000"/>
      <w:vertAlign w:val="baseline"/>
      <w:lang w:val="en-US" w:eastAsia="zh-CN"/>
    </w:rPr>
  </w:style>
  <w:style w:type="paragraph" w:customStyle="1" w:styleId="23">
    <w:name w:val="小节标题"/>
    <w:basedOn w:val="1"/>
    <w:next w:val="1"/>
    <w:qFormat/>
    <w:uiPriority w:val="0"/>
    <w:pPr>
      <w:spacing w:before="175" w:after="102" w:line="351" w:lineRule="atLeast"/>
      <w:ind w:firstLine="0"/>
      <w:jc w:val="both"/>
      <w:textAlignment w:val="baseline"/>
    </w:pPr>
    <w:rPr>
      <w:rFonts w:ascii="Times New Roman" w:eastAsia="黑体"/>
      <w:color w:val="000000"/>
      <w:sz w:val="21"/>
      <w:u w:val="none" w:color="000000"/>
      <w:vertAlign w:val="baseline"/>
      <w:lang w:val="en-US" w:eastAsia="zh-CN"/>
    </w:rPr>
  </w:style>
  <w:style w:type="paragraph" w:customStyle="1" w:styleId="24">
    <w:name w:val="目录标题"/>
    <w:basedOn w:val="1"/>
    <w:next w:val="1"/>
    <w:qFormat/>
    <w:uiPriority w:val="0"/>
    <w:pPr>
      <w:spacing w:before="215" w:after="419" w:line="436" w:lineRule="atLeast"/>
      <w:ind w:firstLine="419"/>
      <w:jc w:val="center"/>
      <w:textAlignment w:val="baseline"/>
    </w:pPr>
    <w:rPr>
      <w:rFonts w:ascii="Arial" w:eastAsia="黑体"/>
      <w:color w:val="000000"/>
      <w:spacing w:val="283"/>
      <w:sz w:val="42"/>
      <w:u w:val="none" w:color="000000"/>
      <w:vertAlign w:val="baseline"/>
      <w:lang w:val="en-US" w:eastAsia="zh-CN"/>
    </w:rPr>
  </w:style>
  <w:style w:type="paragraph" w:customStyle="1" w:styleId="25">
    <w:name w:val="目录1"/>
    <w:basedOn w:val="1"/>
    <w:next w:val="1"/>
    <w:qFormat/>
    <w:uiPriority w:val="0"/>
    <w:pPr>
      <w:tabs>
        <w:tab w:val="left" w:leader="dot" w:pos="8503"/>
      </w:tabs>
      <w:spacing w:after="102" w:line="215" w:lineRule="atLeast"/>
      <w:ind w:firstLine="419"/>
      <w:jc w:val="left"/>
      <w:textAlignment w:val="baseline"/>
    </w:pPr>
    <w:rPr>
      <w:rFonts w:ascii="Times New Roman" w:eastAsia="宋体"/>
      <w:color w:val="000000"/>
      <w:sz w:val="21"/>
      <w:u w:val="none" w:color="000000"/>
      <w:vertAlign w:val="baseline"/>
      <w:lang w:val="en-US" w:eastAsia="zh-CN"/>
    </w:rPr>
  </w:style>
  <w:style w:type="paragraph" w:customStyle="1" w:styleId="26">
    <w:name w:val="目录2"/>
    <w:basedOn w:val="1"/>
    <w:next w:val="1"/>
    <w:qFormat/>
    <w:uiPriority w:val="0"/>
    <w:pPr>
      <w:tabs>
        <w:tab w:val="left" w:leader="dot" w:pos="8503"/>
      </w:tabs>
      <w:spacing w:line="317" w:lineRule="atLeast"/>
      <w:ind w:left="419" w:firstLine="419"/>
      <w:jc w:val="both"/>
      <w:textAlignment w:val="baseline"/>
    </w:pPr>
    <w:rPr>
      <w:rFonts w:ascii="Times New Roman" w:eastAsia="宋体"/>
      <w:color w:val="000000"/>
      <w:sz w:val="21"/>
      <w:u w:val="none" w:color="000000"/>
      <w:vertAlign w:val="baseline"/>
      <w:lang w:val="en-US" w:eastAsia="zh-CN"/>
    </w:rPr>
  </w:style>
  <w:style w:type="paragraph" w:customStyle="1" w:styleId="27">
    <w:name w:val="目录4"/>
    <w:basedOn w:val="1"/>
    <w:next w:val="1"/>
    <w:qFormat/>
    <w:uiPriority w:val="0"/>
    <w:pPr>
      <w:tabs>
        <w:tab w:val="left" w:leader="dot" w:pos="8503"/>
      </w:tabs>
      <w:spacing w:line="317" w:lineRule="atLeast"/>
      <w:ind w:left="419" w:firstLine="629"/>
      <w:jc w:val="both"/>
      <w:textAlignment w:val="baseline"/>
    </w:pPr>
    <w:rPr>
      <w:rFonts w:ascii="Times New Roman" w:eastAsia="宋体"/>
      <w:color w:val="000000"/>
      <w:sz w:val="21"/>
      <w:u w:val="none" w:color="000000"/>
      <w:vertAlign w:val="baseline"/>
      <w:lang w:val="en-US" w:eastAsia="zh-CN"/>
    </w:rPr>
  </w:style>
  <w:style w:type="paragraph" w:customStyle="1" w:styleId="28">
    <w:name w:val="目录3"/>
    <w:basedOn w:val="1"/>
    <w:next w:val="1"/>
    <w:qFormat/>
    <w:uiPriority w:val="0"/>
    <w:pPr>
      <w:tabs>
        <w:tab w:val="left" w:leader="dot" w:pos="8503"/>
      </w:tabs>
      <w:spacing w:line="317" w:lineRule="atLeast"/>
      <w:ind w:left="419" w:firstLine="419"/>
      <w:jc w:val="both"/>
      <w:textAlignment w:val="baseline"/>
    </w:pPr>
    <w:rPr>
      <w:rFonts w:ascii="Times New Roman" w:eastAsia="宋体"/>
      <w:color w:val="000000"/>
      <w:sz w:val="21"/>
      <w:u w:val="none" w:color="000000"/>
      <w:vertAlign w:val="baseline"/>
      <w:lang w:val="en-US" w:eastAsia="zh-CN"/>
    </w:rPr>
  </w:style>
  <w:style w:type="paragraph" w:customStyle="1" w:styleId="29">
    <w:name w:val="样式 (中文) 楷体_GB2312 小二 加粗 居中"/>
    <w:basedOn w:val="1"/>
    <w:qFormat/>
    <w:uiPriority w:val="0"/>
    <w:pPr>
      <w:jc w:val="center"/>
    </w:pPr>
    <w:rPr>
      <w:rFonts w:eastAsia="楷体_GB2312" w:cs="宋体"/>
      <w:b/>
      <w:bCs/>
      <w:sz w:val="36"/>
    </w:rPr>
  </w:style>
  <w:style w:type="paragraph" w:customStyle="1" w:styleId="30">
    <w:name w:val="p0"/>
    <w:basedOn w:val="1"/>
    <w:qFormat/>
    <w:uiPriority w:val="0"/>
    <w:pPr>
      <w:widowControl/>
      <w:spacing w:line="365" w:lineRule="atLeast"/>
      <w:ind w:left="1"/>
    </w:pPr>
    <w:rPr>
      <w:kern w:val="0"/>
      <w:sz w:val="20"/>
      <w:szCs w:val="20"/>
    </w:rPr>
  </w:style>
  <w:style w:type="paragraph" w:customStyle="1" w:styleId="31">
    <w:name w:val=" Char1 Char Char Char"/>
    <w:basedOn w:val="1"/>
    <w:next w:val="1"/>
    <w:qFormat/>
    <w:uiPriority w:val="0"/>
    <w:pPr>
      <w:widowControl/>
      <w:spacing w:line="360" w:lineRule="auto"/>
      <w:ind w:firstLine="200" w:firstLineChars="200"/>
    </w:pPr>
    <w:rPr>
      <w:color w:val="000000"/>
      <w:kern w:val="0"/>
      <w:szCs w:val="20"/>
      <w:u w:val="none" w:color="00000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home\user\C:\Users\admin\Desktop\&#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模板.dot</Template>
  <Pages>1</Pages>
  <Words>0</Words>
  <Characters>0</Characters>
  <Lines>1</Lines>
  <Paragraphs>1</Paragraphs>
  <TotalTime>244</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2021-05-19T05:51:00Z</dcterms:created>
  <dc:creator>慎独</dc:creator>
  <cp:lastModifiedBy>user</cp:lastModifiedBy>
  <cp:lastPrinted>2021-08-14T08:08:00Z</cp:lastPrinted>
  <dcterms:modified xsi:type="dcterms:W3CDTF">2021-08-17T17:38:37Z</dcterms:modified>
  <dc:title>全市经济形势分析会</dc:title>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3167618AB1BC4C5A9DB9C33FA3E20A28</vt:lpwstr>
  </property>
  <property fmtid="{D5CDD505-2E9C-101B-9397-08002B2CF9AE}" pid="3" name="KSOProductBuildVer">
    <vt:lpwstr>2052-11.8.2.9339</vt:lpwstr>
  </property>
  <property fmtid="{D5CDD505-2E9C-101B-9397-08002B2CF9AE}" pid="4" name="KSOSaveFontToCloudKey">
    <vt:lpwstr>0_btnclosed</vt:lpwstr>
  </property>
</Properties>
</file>